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608" w:type="dxa"/>
        <w:tblInd w:w="0" w:type="dxa"/>
        <w:tblLayout w:type="autofit"/>
        <w:tblCellMar>
          <w:top w:w="0" w:type="dxa"/>
          <w:left w:w="108" w:type="dxa"/>
          <w:bottom w:w="0" w:type="dxa"/>
          <w:right w:w="108" w:type="dxa"/>
        </w:tblCellMar>
      </w:tblPr>
      <w:tblGrid>
        <w:gridCol w:w="4338"/>
        <w:gridCol w:w="6270"/>
      </w:tblGrid>
      <w:tr>
        <w:tblPrEx>
          <w:tblCellMar>
            <w:top w:w="0" w:type="dxa"/>
            <w:left w:w="108" w:type="dxa"/>
            <w:bottom w:w="0" w:type="dxa"/>
            <w:right w:w="108" w:type="dxa"/>
          </w:tblCellMar>
        </w:tblPrEx>
        <w:tc>
          <w:tcPr>
            <w:tcW w:w="4338" w:type="dxa"/>
          </w:tcPr>
          <w:p>
            <w:pPr>
              <w:spacing w:before="20" w:line="360" w:lineRule="auto"/>
              <w:jc w:val="center"/>
              <w:rPr>
                <w:rFonts w:ascii="Bookman Old Style" w:hAnsi="Bookman Old Style" w:cs="Arial"/>
                <w:sz w:val="24"/>
                <w:szCs w:val="24"/>
                <w:lang w:eastAsia="id-ID"/>
              </w:rPr>
            </w:pPr>
            <w:bookmarkStart w:id="4" w:name="_GoBack"/>
            <w:bookmarkEnd w:id="4"/>
          </w:p>
        </w:tc>
        <w:tc>
          <w:tcPr>
            <w:tcW w:w="6270" w:type="dxa"/>
          </w:tcPr>
          <w:p>
            <w:pPr>
              <w:spacing w:after="0" w:line="312" w:lineRule="auto"/>
              <w:ind w:right="346"/>
              <w:jc w:val="both"/>
              <w:rPr>
                <w:rFonts w:ascii="Bookman Old Style" w:hAnsi="Bookman Old Style" w:cs="Arial"/>
                <w:sz w:val="24"/>
                <w:szCs w:val="24"/>
                <w:lang w:eastAsia="id-ID"/>
              </w:rPr>
            </w:pPr>
            <w:r>
              <w:rPr>
                <w:rFonts w:ascii="Bookman Old Style" w:hAnsi="Bookman Old Style" w:cs="Arial"/>
                <w:sz w:val="24"/>
                <w:szCs w:val="24"/>
                <w:lang w:eastAsia="id-ID"/>
              </w:rPr>
              <w:t xml:space="preserve">LAMPIRAN </w:t>
            </w:r>
          </w:p>
          <w:p>
            <w:pPr>
              <w:spacing w:after="0" w:line="312" w:lineRule="auto"/>
              <w:ind w:right="346"/>
              <w:jc w:val="both"/>
              <w:rPr>
                <w:rFonts w:ascii="Bookman Old Style" w:hAnsi="Bookman Old Style" w:cs="Arial"/>
                <w:sz w:val="24"/>
                <w:szCs w:val="24"/>
                <w:lang w:eastAsia="id-ID"/>
              </w:rPr>
            </w:pPr>
            <w:r>
              <w:rPr>
                <w:rFonts w:ascii="Bookman Old Style" w:hAnsi="Bookman Old Style" w:cs="Arial"/>
                <w:sz w:val="24"/>
                <w:szCs w:val="24"/>
                <w:lang w:eastAsia="id-ID"/>
              </w:rPr>
              <w:t>PERATURAN BUPATI MALANG</w:t>
            </w:r>
          </w:p>
          <w:p>
            <w:pPr>
              <w:spacing w:after="0" w:line="312" w:lineRule="auto"/>
              <w:ind w:right="346"/>
              <w:jc w:val="both"/>
              <w:rPr>
                <w:rFonts w:ascii="Bookman Old Style" w:hAnsi="Bookman Old Style" w:cs="Arial"/>
                <w:sz w:val="24"/>
                <w:szCs w:val="24"/>
                <w:lang w:eastAsia="id-ID"/>
              </w:rPr>
            </w:pPr>
            <w:r>
              <w:rPr>
                <w:rFonts w:ascii="Bookman Old Style" w:hAnsi="Bookman Old Style" w:cs="Arial"/>
                <w:sz w:val="24"/>
                <w:szCs w:val="24"/>
                <w:lang w:eastAsia="id-ID"/>
              </w:rPr>
              <w:t xml:space="preserve">NOMOR       TAHUN 2019 </w:t>
            </w:r>
          </w:p>
          <w:p>
            <w:pPr>
              <w:spacing w:after="0" w:line="312" w:lineRule="auto"/>
              <w:ind w:right="346"/>
              <w:jc w:val="both"/>
              <w:rPr>
                <w:rFonts w:ascii="Bookman Old Style" w:hAnsi="Bookman Old Style" w:cs="Arial"/>
                <w:sz w:val="24"/>
                <w:szCs w:val="24"/>
                <w:lang w:eastAsia="id-ID"/>
              </w:rPr>
            </w:pPr>
            <w:r>
              <w:rPr>
                <w:rFonts w:ascii="Bookman Old Style" w:hAnsi="Bookman Old Style" w:cs="Arial"/>
                <w:sz w:val="24"/>
                <w:szCs w:val="24"/>
                <w:lang w:eastAsia="id-ID"/>
              </w:rPr>
              <w:t>TENTANG</w:t>
            </w:r>
          </w:p>
          <w:p>
            <w:pPr>
              <w:spacing w:after="0" w:line="312" w:lineRule="auto"/>
              <w:ind w:right="45"/>
              <w:jc w:val="both"/>
              <w:rPr>
                <w:rFonts w:ascii="Bookman Old Style" w:hAnsi="Bookman Old Style" w:cs="Arial"/>
                <w:sz w:val="24"/>
                <w:szCs w:val="24"/>
                <w:lang w:eastAsia="id-ID"/>
              </w:rPr>
            </w:pPr>
            <w:r>
              <w:rPr>
                <w:rFonts w:ascii="Bookman Old Style" w:hAnsi="Bookman Old Style" w:cs="Arial"/>
                <w:sz w:val="24"/>
                <w:szCs w:val="24"/>
                <w:lang w:eastAsia="id-ID"/>
              </w:rPr>
              <w:t xml:space="preserve">RENCANA KERJA </w:t>
            </w:r>
            <w:r>
              <w:rPr>
                <w:rFonts w:ascii="Bookman Old Style" w:hAnsi="Bookman Old Style" w:cs="Arial"/>
                <w:sz w:val="24"/>
                <w:szCs w:val="24"/>
                <w:lang w:val="id-ID"/>
              </w:rPr>
              <w:t>BADAN PENDAPATAN DAERAH</w:t>
            </w:r>
            <w:r>
              <w:rPr>
                <w:rFonts w:ascii="Bookman Old Style" w:hAnsi="Bookman Old Style" w:cs="Arial"/>
                <w:sz w:val="24"/>
                <w:szCs w:val="24"/>
              </w:rPr>
              <w:t xml:space="preserve"> </w:t>
            </w:r>
            <w:r>
              <w:rPr>
                <w:rFonts w:ascii="Bookman Old Style" w:hAnsi="Bookman Old Style" w:cs="Arial"/>
                <w:sz w:val="24"/>
                <w:szCs w:val="24"/>
                <w:lang w:eastAsia="id-ID"/>
              </w:rPr>
              <w:t>KABUPATEN MALANG TAHUN 2020</w:t>
            </w:r>
          </w:p>
          <w:p>
            <w:pPr>
              <w:spacing w:after="0"/>
              <w:ind w:right="351"/>
              <w:rPr>
                <w:rFonts w:ascii="Bookman Old Style" w:hAnsi="Bookman Old Style" w:cs="Arial"/>
                <w:sz w:val="24"/>
                <w:szCs w:val="24"/>
                <w:lang w:eastAsia="id-ID"/>
              </w:rPr>
            </w:pPr>
          </w:p>
        </w:tc>
      </w:tr>
    </w:tbl>
    <w:p>
      <w:pPr>
        <w:spacing w:after="0" w:line="360" w:lineRule="auto"/>
        <w:jc w:val="center"/>
        <w:rPr>
          <w:rFonts w:ascii="Bookman Old Style" w:hAnsi="Bookman Old Style" w:cs="Arial"/>
          <w:b/>
          <w:sz w:val="24"/>
          <w:szCs w:val="24"/>
          <w:lang w:val="fi-FI"/>
        </w:rPr>
      </w:pPr>
    </w:p>
    <w:p>
      <w:pPr>
        <w:spacing w:after="0" w:line="360" w:lineRule="auto"/>
        <w:jc w:val="center"/>
        <w:rPr>
          <w:rFonts w:ascii="Bookman Old Style" w:hAnsi="Bookman Old Style" w:cs="Arial"/>
          <w:b/>
          <w:sz w:val="24"/>
          <w:szCs w:val="24"/>
          <w:lang w:val="fi-FI"/>
        </w:rPr>
      </w:pPr>
      <w:r>
        <w:rPr>
          <w:rFonts w:ascii="Bookman Old Style" w:hAnsi="Bookman Old Style" w:cs="Arial"/>
          <w:b/>
          <w:sz w:val="24"/>
          <w:szCs w:val="24"/>
          <w:lang w:val="fi-FI"/>
        </w:rPr>
        <w:t xml:space="preserve">RENCANA KERJA </w:t>
      </w:r>
    </w:p>
    <w:p>
      <w:pPr>
        <w:spacing w:after="0" w:line="360" w:lineRule="auto"/>
        <w:jc w:val="center"/>
        <w:rPr>
          <w:rFonts w:ascii="Bookman Old Style" w:hAnsi="Bookman Old Style" w:cs="Arial"/>
          <w:b/>
          <w:sz w:val="24"/>
          <w:szCs w:val="24"/>
          <w:lang w:val="fi-FI"/>
        </w:rPr>
      </w:pPr>
      <w:r>
        <w:rPr>
          <w:rFonts w:ascii="Bookman Old Style" w:hAnsi="Bookman Old Style" w:cs="Arial"/>
          <w:b/>
          <w:sz w:val="24"/>
          <w:szCs w:val="24"/>
          <w:lang w:val="id-ID"/>
        </w:rPr>
        <w:t>BADAN PENDAPATAN DAERAH</w:t>
      </w:r>
    </w:p>
    <w:p>
      <w:pPr>
        <w:spacing w:after="0" w:line="360" w:lineRule="auto"/>
        <w:jc w:val="center"/>
        <w:rPr>
          <w:rFonts w:ascii="Bookman Old Style" w:hAnsi="Bookman Old Style" w:cs="Arial"/>
          <w:b/>
          <w:sz w:val="24"/>
          <w:szCs w:val="24"/>
        </w:rPr>
      </w:pPr>
      <w:r>
        <w:rPr>
          <w:rFonts w:ascii="Bookman Old Style" w:hAnsi="Bookman Old Style" w:cs="Arial"/>
          <w:b/>
          <w:sz w:val="24"/>
          <w:szCs w:val="24"/>
          <w:lang w:eastAsia="id-ID"/>
        </w:rPr>
        <w:t xml:space="preserve">KABUPATEN MALANG </w:t>
      </w:r>
      <w:r>
        <w:rPr>
          <w:rFonts w:ascii="Bookman Old Style" w:hAnsi="Bookman Old Style" w:cs="Arial"/>
          <w:b/>
          <w:sz w:val="24"/>
          <w:szCs w:val="24"/>
          <w:lang w:val="fi-FI"/>
        </w:rPr>
        <w:t>TAHUN 2020</w:t>
      </w:r>
    </w:p>
    <w:p>
      <w:pPr>
        <w:pStyle w:val="15"/>
        <w:spacing w:line="360" w:lineRule="auto"/>
        <w:jc w:val="center"/>
        <w:rPr>
          <w:rFonts w:ascii="Bookman Old Style" w:hAnsi="Bookman Old Style" w:cs="Arial"/>
          <w:b/>
          <w:sz w:val="24"/>
          <w:szCs w:val="24"/>
          <w:lang w:val="en-GB"/>
        </w:rPr>
      </w:pPr>
    </w:p>
    <w:p>
      <w:pPr>
        <w:pStyle w:val="15"/>
        <w:spacing w:line="360" w:lineRule="auto"/>
        <w:jc w:val="center"/>
        <w:rPr>
          <w:rFonts w:ascii="Bookman Old Style" w:hAnsi="Bookman Old Style" w:cs="Arial"/>
          <w:b/>
          <w:sz w:val="24"/>
          <w:szCs w:val="24"/>
          <w:lang w:val="en-GB"/>
        </w:rPr>
      </w:pPr>
      <w:r>
        <w:rPr>
          <w:rFonts w:ascii="Bookman Old Style" w:hAnsi="Bookman Old Style" w:cs="Arial"/>
          <w:b/>
          <w:sz w:val="24"/>
          <w:szCs w:val="24"/>
          <w:lang w:val="en-GB"/>
        </w:rPr>
        <w:t>BAB I</w:t>
      </w:r>
    </w:p>
    <w:p>
      <w:pPr>
        <w:pStyle w:val="15"/>
        <w:spacing w:line="360" w:lineRule="auto"/>
        <w:jc w:val="center"/>
        <w:rPr>
          <w:rFonts w:ascii="Bookman Old Style" w:hAnsi="Bookman Old Style" w:cs="Arial"/>
          <w:b/>
          <w:sz w:val="24"/>
          <w:szCs w:val="24"/>
          <w:lang w:val="en-GB"/>
        </w:rPr>
      </w:pPr>
      <w:r>
        <w:rPr>
          <w:rFonts w:ascii="Bookman Old Style" w:hAnsi="Bookman Old Style" w:cs="Arial"/>
          <w:b/>
          <w:sz w:val="24"/>
          <w:szCs w:val="24"/>
          <w:lang w:val="en-GB"/>
        </w:rPr>
        <w:t>PENDAHULUAN</w:t>
      </w:r>
    </w:p>
    <w:p>
      <w:pPr>
        <w:pStyle w:val="15"/>
        <w:spacing w:line="360" w:lineRule="auto"/>
        <w:rPr>
          <w:rFonts w:ascii="Bookman Old Style" w:hAnsi="Bookman Old Style" w:cs="Arial"/>
          <w:sz w:val="24"/>
          <w:szCs w:val="24"/>
          <w:lang w:val="en-GB"/>
        </w:rPr>
      </w:pPr>
    </w:p>
    <w:p>
      <w:pPr>
        <w:pStyle w:val="15"/>
        <w:numPr>
          <w:ilvl w:val="1"/>
          <w:numId w:val="1"/>
        </w:numPr>
        <w:spacing w:line="360" w:lineRule="auto"/>
        <w:ind w:left="567" w:hanging="567"/>
        <w:rPr>
          <w:rFonts w:ascii="Bookman Old Style" w:hAnsi="Bookman Old Style" w:cs="Arial"/>
          <w:b/>
          <w:sz w:val="24"/>
          <w:szCs w:val="24"/>
          <w:lang w:val="en-GB"/>
        </w:rPr>
      </w:pPr>
      <w:r>
        <w:rPr>
          <w:rFonts w:ascii="Bookman Old Style" w:hAnsi="Bookman Old Style" w:cs="Arial"/>
          <w:b/>
          <w:sz w:val="24"/>
          <w:szCs w:val="24"/>
          <w:lang w:val="en-GB"/>
        </w:rPr>
        <w:t>Latar Belakang</w:t>
      </w:r>
    </w:p>
    <w:p>
      <w:pPr>
        <w:tabs>
          <w:tab w:val="left" w:pos="567"/>
        </w:tabs>
        <w:spacing w:after="0" w:line="305" w:lineRule="auto"/>
        <w:ind w:left="562" w:right="-58" w:firstLine="562"/>
        <w:jc w:val="both"/>
        <w:rPr>
          <w:rFonts w:ascii="Bookman Old Style" w:hAnsi="Bookman Old Style" w:cs="Arial"/>
          <w:color w:val="000000" w:themeColor="text1"/>
          <w:sz w:val="24"/>
          <w:szCs w:val="24"/>
          <w:lang w:val="en-GB"/>
          <w14:textFill>
            <w14:solidFill>
              <w14:schemeClr w14:val="tx1"/>
            </w14:solidFill>
          </w14:textFill>
        </w:rPr>
      </w:pPr>
      <w:r>
        <w:rPr>
          <w:rFonts w:ascii="Bookman Old Style" w:hAnsi="Bookman Old Style" w:cs="Arial"/>
          <w:color w:val="000000" w:themeColor="text1"/>
          <w:sz w:val="24"/>
          <w:szCs w:val="24"/>
          <w:lang w:val="id-ID"/>
          <w14:textFill>
            <w14:solidFill>
              <w14:schemeClr w14:val="tx1"/>
            </w14:solidFill>
          </w14:textFill>
        </w:rPr>
        <w:t xml:space="preserve">Dokumen </w:t>
      </w:r>
      <w:r>
        <w:rPr>
          <w:rFonts w:ascii="Bookman Old Style" w:hAnsi="Bookman Old Style" w:cs="Arial"/>
          <w:color w:val="000000" w:themeColor="text1"/>
          <w:sz w:val="24"/>
          <w:szCs w:val="24"/>
          <w14:textFill>
            <w14:solidFill>
              <w14:schemeClr w14:val="tx1"/>
            </w14:solidFill>
          </w14:textFill>
        </w:rPr>
        <w:t xml:space="preserve">Rencana Kerja </w:t>
      </w:r>
      <w:r>
        <w:rPr>
          <w:rFonts w:ascii="Bookman Old Style" w:hAnsi="Bookman Old Style" w:cs="Arial"/>
          <w:color w:val="000000" w:themeColor="text1"/>
          <w:sz w:val="24"/>
          <w:szCs w:val="24"/>
          <w:lang w:val="id-ID"/>
          <w14:textFill>
            <w14:solidFill>
              <w14:schemeClr w14:val="tx1"/>
            </w14:solidFill>
          </w14:textFill>
        </w:rPr>
        <w:t xml:space="preserve">(Renja) </w:t>
      </w:r>
      <w:r>
        <w:rPr>
          <w:rFonts w:ascii="Bookman Old Style" w:hAnsi="Bookman Old Style" w:cs="Arial"/>
          <w:color w:val="000000" w:themeColor="text1"/>
          <w:sz w:val="24"/>
          <w:szCs w:val="24"/>
          <w14:textFill>
            <w14:solidFill>
              <w14:schemeClr w14:val="tx1"/>
            </w14:solidFill>
          </w14:textFill>
        </w:rPr>
        <w:t xml:space="preserve">adalah dokumen perencanaan Perangkat Daerah untuk periode 1 (satu) tahun.Sebagai dokumen rencana tahunan Perangkat Daerah, Rencana Kerja </w:t>
      </w:r>
      <w:r>
        <w:rPr>
          <w:rFonts w:ascii="Bookman Old Style" w:hAnsi="Bookman Old Style" w:cs="Arial"/>
          <w:color w:val="000000" w:themeColor="text1"/>
          <w:sz w:val="24"/>
          <w:szCs w:val="24"/>
          <w:lang w:val="id-ID"/>
          <w14:textFill>
            <w14:solidFill>
              <w14:schemeClr w14:val="tx1"/>
            </w14:solidFill>
          </w14:textFill>
        </w:rPr>
        <w:t>B</w:t>
      </w:r>
      <w:r>
        <w:rPr>
          <w:rFonts w:ascii="Bookman Old Style" w:hAnsi="Bookman Old Style" w:cs="Arial"/>
          <w:color w:val="000000" w:themeColor="text1"/>
          <w:sz w:val="24"/>
          <w:szCs w:val="24"/>
          <w:lang w:val="en-GB"/>
          <w14:textFill>
            <w14:solidFill>
              <w14:schemeClr w14:val="tx1"/>
            </w14:solidFill>
          </w14:textFill>
        </w:rPr>
        <w:t xml:space="preserve">adan </w:t>
      </w:r>
      <w:r>
        <w:rPr>
          <w:rFonts w:ascii="Bookman Old Style" w:hAnsi="Bookman Old Style" w:cs="Arial"/>
          <w:color w:val="000000" w:themeColor="text1"/>
          <w:sz w:val="24"/>
          <w:szCs w:val="24"/>
          <w:lang w:val="id-ID"/>
          <w14:textFill>
            <w14:solidFill>
              <w14:schemeClr w14:val="tx1"/>
            </w14:solidFill>
          </w14:textFill>
        </w:rPr>
        <w:t>P</w:t>
      </w:r>
      <w:r>
        <w:rPr>
          <w:rFonts w:ascii="Bookman Old Style" w:hAnsi="Bookman Old Style" w:cs="Arial"/>
          <w:color w:val="000000" w:themeColor="text1"/>
          <w:sz w:val="24"/>
          <w:szCs w:val="24"/>
          <w:lang w:val="en-GB"/>
          <w14:textFill>
            <w14:solidFill>
              <w14:schemeClr w14:val="tx1"/>
            </w14:solidFill>
          </w14:textFill>
        </w:rPr>
        <w:t xml:space="preserve">endapatan </w:t>
      </w:r>
      <w:r>
        <w:rPr>
          <w:rFonts w:ascii="Bookman Old Style" w:hAnsi="Bookman Old Style" w:cs="Arial"/>
          <w:color w:val="000000" w:themeColor="text1"/>
          <w:sz w:val="24"/>
          <w:szCs w:val="24"/>
          <w:lang w:val="id-ID"/>
          <w14:textFill>
            <w14:solidFill>
              <w14:schemeClr w14:val="tx1"/>
            </w14:solidFill>
          </w14:textFill>
        </w:rPr>
        <w:t>D</w:t>
      </w:r>
      <w:r>
        <w:rPr>
          <w:rFonts w:ascii="Bookman Old Style" w:hAnsi="Bookman Old Style" w:cs="Arial"/>
          <w:color w:val="000000" w:themeColor="text1"/>
          <w:sz w:val="24"/>
          <w:szCs w:val="24"/>
          <w:lang w:val="en-GB"/>
          <w14:textFill>
            <w14:solidFill>
              <w14:schemeClr w14:val="tx1"/>
            </w14:solidFill>
          </w14:textFill>
        </w:rPr>
        <w:t>aerah</w:t>
      </w:r>
      <w:r>
        <w:rPr>
          <w:rFonts w:ascii="Bookman Old Style" w:hAnsi="Bookman Old Style" w:cs="Arial"/>
          <w:color w:val="000000" w:themeColor="text1"/>
          <w:sz w:val="24"/>
          <w:szCs w:val="24"/>
          <w14:textFill>
            <w14:solidFill>
              <w14:schemeClr w14:val="tx1"/>
            </w14:solidFill>
          </w14:textFill>
        </w:rPr>
        <w:t xml:space="preserve"> mempunyai arti </w:t>
      </w:r>
      <w:r>
        <w:rPr>
          <w:rFonts w:ascii="Bookman Old Style" w:hAnsi="Bookman Old Style" w:cs="Arial"/>
          <w:color w:val="000000" w:themeColor="text1"/>
          <w:sz w:val="24"/>
          <w:szCs w:val="24"/>
          <w:lang w:val="id-ID"/>
          <w14:textFill>
            <w14:solidFill>
              <w14:schemeClr w14:val="tx1"/>
            </w14:solidFill>
          </w14:textFill>
        </w:rPr>
        <w:t>penting</w:t>
      </w:r>
      <w:r>
        <w:rPr>
          <w:rFonts w:ascii="Bookman Old Style" w:hAnsi="Bookman Old Style" w:cs="Arial"/>
          <w:color w:val="000000" w:themeColor="text1"/>
          <w:sz w:val="24"/>
          <w:szCs w:val="24"/>
          <w14:textFill>
            <w14:solidFill>
              <w14:schemeClr w14:val="tx1"/>
            </w14:solidFill>
          </w14:textFill>
        </w:rPr>
        <w:t xml:space="preserve"> dalam mendukung penyelenggaraan program pembangunan tahunan </w:t>
      </w:r>
      <w:r>
        <w:rPr>
          <w:rFonts w:ascii="Bookman Old Style" w:hAnsi="Bookman Old Style" w:cs="Arial"/>
          <w:color w:val="000000" w:themeColor="text1"/>
          <w:sz w:val="24"/>
          <w:szCs w:val="24"/>
          <w:lang w:val="id-ID"/>
          <w14:textFill>
            <w14:solidFill>
              <w14:schemeClr w14:val="tx1"/>
            </w14:solidFill>
          </w14:textFill>
        </w:rPr>
        <w:t>P</w:t>
      </w:r>
      <w:r>
        <w:rPr>
          <w:rFonts w:ascii="Bookman Old Style" w:hAnsi="Bookman Old Style" w:cs="Arial"/>
          <w:color w:val="000000" w:themeColor="text1"/>
          <w:sz w:val="24"/>
          <w:szCs w:val="24"/>
          <w14:textFill>
            <w14:solidFill>
              <w14:schemeClr w14:val="tx1"/>
            </w14:solidFill>
          </w14:textFill>
        </w:rPr>
        <w:t xml:space="preserve">emerintahan </w:t>
      </w:r>
      <w:r>
        <w:rPr>
          <w:rFonts w:ascii="Bookman Old Style" w:hAnsi="Bookman Old Style" w:cs="Arial"/>
          <w:color w:val="000000" w:themeColor="text1"/>
          <w:sz w:val="24"/>
          <w:szCs w:val="24"/>
          <w:lang w:val="id-ID"/>
          <w14:textFill>
            <w14:solidFill>
              <w14:schemeClr w14:val="tx1"/>
            </w14:solidFill>
          </w14:textFill>
        </w:rPr>
        <w:t>D</w:t>
      </w:r>
      <w:r>
        <w:rPr>
          <w:rFonts w:ascii="Bookman Old Style" w:hAnsi="Bookman Old Style" w:cs="Arial"/>
          <w:color w:val="000000" w:themeColor="text1"/>
          <w:sz w:val="24"/>
          <w:szCs w:val="24"/>
          <w14:textFill>
            <w14:solidFill>
              <w14:schemeClr w14:val="tx1"/>
            </w14:solidFill>
          </w14:textFill>
        </w:rPr>
        <w:t>aerah mengingat Rencana Kerja P</w:t>
      </w:r>
      <w:r>
        <w:rPr>
          <w:rFonts w:ascii="Bookman Old Style" w:hAnsi="Bookman Old Style" w:cs="Arial"/>
          <w:color w:val="000000" w:themeColor="text1"/>
          <w:sz w:val="24"/>
          <w:szCs w:val="24"/>
          <w:lang w:val="id-ID"/>
          <w14:textFill>
            <w14:solidFill>
              <w14:schemeClr w14:val="tx1"/>
            </w14:solidFill>
          </w14:textFill>
        </w:rPr>
        <w:t xml:space="preserve">erangkat </w:t>
      </w:r>
      <w:r>
        <w:rPr>
          <w:rFonts w:ascii="Bookman Old Style" w:hAnsi="Bookman Old Style" w:cs="Arial"/>
          <w:color w:val="000000" w:themeColor="text1"/>
          <w:sz w:val="24"/>
          <w:szCs w:val="24"/>
          <w14:textFill>
            <w14:solidFill>
              <w14:schemeClr w14:val="tx1"/>
            </w14:solidFill>
          </w14:textFill>
        </w:rPr>
        <w:t>D</w:t>
      </w:r>
      <w:r>
        <w:rPr>
          <w:rFonts w:ascii="Bookman Old Style" w:hAnsi="Bookman Old Style" w:cs="Arial"/>
          <w:color w:val="000000" w:themeColor="text1"/>
          <w:sz w:val="24"/>
          <w:szCs w:val="24"/>
          <w:lang w:val="id-ID"/>
          <w14:textFill>
            <w14:solidFill>
              <w14:schemeClr w14:val="tx1"/>
            </w14:solidFill>
          </w14:textFill>
        </w:rPr>
        <w:t>aerah</w:t>
      </w:r>
      <w:r>
        <w:rPr>
          <w:rFonts w:ascii="Bookman Old Style" w:hAnsi="Bookman Old Style" w:cs="Arial"/>
          <w:color w:val="000000" w:themeColor="text1"/>
          <w:sz w:val="24"/>
          <w:szCs w:val="24"/>
          <w14:textFill>
            <w14:solidFill>
              <w14:schemeClr w14:val="tx1"/>
            </w14:solidFill>
          </w14:textFill>
        </w:rPr>
        <w:t xml:space="preserve"> merupakan </w:t>
      </w:r>
      <w:r>
        <w:rPr>
          <w:rFonts w:ascii="Bookman Old Style" w:hAnsi="Bookman Old Style" w:cs="Arial"/>
          <w:sz w:val="24"/>
          <w:szCs w:val="24"/>
          <w:lang w:val="id-ID"/>
        </w:rPr>
        <w:t xml:space="preserve">penjabaran </w:t>
      </w:r>
      <w:r>
        <w:rPr>
          <w:rFonts w:ascii="Bookman Old Style" w:hAnsi="Bookman Old Style" w:cs="Arial"/>
          <w:color w:val="000000" w:themeColor="text1"/>
          <w:sz w:val="24"/>
          <w:szCs w:val="24"/>
          <w14:textFill>
            <w14:solidFill>
              <w14:schemeClr w14:val="tx1"/>
            </w14:solidFill>
          </w14:textFill>
        </w:rPr>
        <w:t xml:space="preserve">dari Rencana Strategis (Renstra) </w:t>
      </w:r>
      <w:r>
        <w:rPr>
          <w:rFonts w:ascii="Bookman Old Style" w:hAnsi="Bookman Old Style" w:cs="Arial"/>
          <w:color w:val="000000" w:themeColor="text1"/>
          <w:sz w:val="24"/>
          <w:szCs w:val="24"/>
          <w:lang w:val="id-ID"/>
          <w14:textFill>
            <w14:solidFill>
              <w14:schemeClr w14:val="tx1"/>
            </w14:solidFill>
          </w14:textFill>
        </w:rPr>
        <w:t>Perangkat Daerah</w:t>
      </w:r>
      <w:r>
        <w:rPr>
          <w:rFonts w:ascii="Bookman Old Style" w:hAnsi="Bookman Old Style" w:cs="Arial"/>
          <w:color w:val="000000" w:themeColor="text1"/>
          <w:sz w:val="24"/>
          <w:szCs w:val="24"/>
          <w14:textFill>
            <w14:solidFill>
              <w14:schemeClr w14:val="tx1"/>
            </w14:solidFill>
          </w14:textFill>
        </w:rPr>
        <w:t>. Disamping itu Renja P</w:t>
      </w:r>
      <w:r>
        <w:rPr>
          <w:rFonts w:ascii="Bookman Old Style" w:hAnsi="Bookman Old Style" w:cs="Arial"/>
          <w:color w:val="000000" w:themeColor="text1"/>
          <w:sz w:val="24"/>
          <w:szCs w:val="24"/>
          <w:lang w:val="id-ID"/>
          <w14:textFill>
            <w14:solidFill>
              <w14:schemeClr w14:val="tx1"/>
            </w14:solidFill>
          </w14:textFill>
        </w:rPr>
        <w:t xml:space="preserve">erangkat </w:t>
      </w:r>
      <w:r>
        <w:rPr>
          <w:rFonts w:ascii="Bookman Old Style" w:hAnsi="Bookman Old Style" w:cs="Arial"/>
          <w:color w:val="000000" w:themeColor="text1"/>
          <w:sz w:val="24"/>
          <w:szCs w:val="24"/>
          <w14:textFill>
            <w14:solidFill>
              <w14:schemeClr w14:val="tx1"/>
            </w14:solidFill>
          </w14:textFill>
        </w:rPr>
        <w:t>D</w:t>
      </w:r>
      <w:r>
        <w:rPr>
          <w:rFonts w:ascii="Bookman Old Style" w:hAnsi="Bookman Old Style" w:cs="Arial"/>
          <w:color w:val="000000" w:themeColor="text1"/>
          <w:sz w:val="24"/>
          <w:szCs w:val="24"/>
          <w:lang w:val="id-ID"/>
          <w14:textFill>
            <w14:solidFill>
              <w14:schemeClr w14:val="tx1"/>
            </w14:solidFill>
          </w14:textFill>
        </w:rPr>
        <w:t>aerah</w:t>
      </w:r>
      <w:r>
        <w:rPr>
          <w:rFonts w:ascii="Bookman Old Style" w:hAnsi="Bookman Old Style" w:cs="Arial"/>
          <w:color w:val="000000" w:themeColor="text1"/>
          <w:sz w:val="24"/>
          <w:szCs w:val="24"/>
          <w14:textFill>
            <w14:solidFill>
              <w14:schemeClr w14:val="tx1"/>
            </w14:solidFill>
          </w14:textFill>
        </w:rPr>
        <w:t xml:space="preserve"> m</w:t>
      </w:r>
      <w:r>
        <w:rPr>
          <w:rFonts w:ascii="Bookman Old Style" w:hAnsi="Bookman Old Style" w:cs="Arial"/>
          <w:color w:val="000000" w:themeColor="text1"/>
          <w:sz w:val="24"/>
          <w:szCs w:val="24"/>
          <w:lang w:val="id-ID"/>
          <w14:textFill>
            <w14:solidFill>
              <w14:schemeClr w14:val="tx1"/>
            </w14:solidFill>
          </w14:textFill>
        </w:rPr>
        <w:t>e</w:t>
      </w:r>
      <w:r>
        <w:rPr>
          <w:rFonts w:ascii="Bookman Old Style" w:hAnsi="Bookman Old Style" w:cs="Arial"/>
          <w:color w:val="000000" w:themeColor="text1"/>
          <w:sz w:val="24"/>
          <w:szCs w:val="24"/>
          <w14:textFill>
            <w14:solidFill>
              <w14:schemeClr w14:val="tx1"/>
            </w14:solidFill>
          </w14:textFill>
        </w:rPr>
        <w:t>rupa</w:t>
      </w:r>
      <w:r>
        <w:rPr>
          <w:rFonts w:ascii="Bookman Old Style" w:hAnsi="Bookman Old Style" w:cs="Arial"/>
          <w:color w:val="000000" w:themeColor="text1"/>
          <w:sz w:val="24"/>
          <w:szCs w:val="24"/>
          <w:lang w:val="id-ID"/>
          <w14:textFill>
            <w14:solidFill>
              <w14:schemeClr w14:val="tx1"/>
            </w14:solidFill>
          </w14:textFill>
        </w:rPr>
        <w:t>ka</w:t>
      </w:r>
      <w:r>
        <w:rPr>
          <w:rFonts w:ascii="Bookman Old Style" w:hAnsi="Bookman Old Style" w:cs="Arial"/>
          <w:color w:val="000000" w:themeColor="text1"/>
          <w:sz w:val="24"/>
          <w:szCs w:val="24"/>
          <w14:textFill>
            <w14:solidFill>
              <w14:schemeClr w14:val="tx1"/>
            </w14:solidFill>
          </w14:textFill>
        </w:rPr>
        <w:t>n salah satu instrument untuk evaluasi pelaksa</w:t>
      </w:r>
      <w:r>
        <w:rPr>
          <w:rFonts w:ascii="Bookman Old Style" w:hAnsi="Bookman Old Style" w:cs="Arial"/>
          <w:color w:val="000000" w:themeColor="text1"/>
          <w:sz w:val="24"/>
          <w:szCs w:val="24"/>
          <w:lang w:val="id-ID"/>
          <w14:textFill>
            <w14:solidFill>
              <w14:schemeClr w14:val="tx1"/>
            </w14:solidFill>
          </w14:textFill>
        </w:rPr>
        <w:t>n</w:t>
      </w:r>
      <w:r>
        <w:rPr>
          <w:rFonts w:ascii="Bookman Old Style" w:hAnsi="Bookman Old Style" w:cs="Arial"/>
          <w:color w:val="000000" w:themeColor="text1"/>
          <w:sz w:val="24"/>
          <w:szCs w:val="24"/>
          <w14:textFill>
            <w14:solidFill>
              <w14:schemeClr w14:val="tx1"/>
            </w14:solidFill>
          </w14:textFill>
        </w:rPr>
        <w:t>a</w:t>
      </w:r>
      <w:r>
        <w:rPr>
          <w:rFonts w:ascii="Bookman Old Style" w:hAnsi="Bookman Old Style" w:cs="Arial"/>
          <w:color w:val="000000" w:themeColor="text1"/>
          <w:sz w:val="24"/>
          <w:szCs w:val="24"/>
          <w:lang w:val="id-ID"/>
          <w14:textFill>
            <w14:solidFill>
              <w14:schemeClr w14:val="tx1"/>
            </w14:solidFill>
          </w14:textFill>
        </w:rPr>
        <w:t>an</w:t>
      </w:r>
      <w:r>
        <w:rPr>
          <w:rFonts w:ascii="Bookman Old Style" w:hAnsi="Bookman Old Style" w:cs="Arial"/>
          <w:color w:val="000000" w:themeColor="text1"/>
          <w:sz w:val="24"/>
          <w:szCs w:val="24"/>
          <w14:textFill>
            <w14:solidFill>
              <w14:schemeClr w14:val="tx1"/>
            </w14:solidFill>
          </w14:textFill>
        </w:rPr>
        <w:t xml:space="preserve"> program/kegiatan instansi untuk mengetahui sejauh mana capaian kinerja yang tercantum dalam Rencana Kinerja Tahunan sebagai wujud dari kinerja Perangkat Da</w:t>
      </w:r>
      <w:r>
        <w:rPr>
          <w:rFonts w:ascii="Bookman Old Style" w:hAnsi="Bookman Old Style" w:cs="Arial"/>
          <w:color w:val="000000" w:themeColor="text1"/>
          <w:sz w:val="24"/>
          <w:szCs w:val="24"/>
          <w:lang w:val="id-ID"/>
          <w14:textFill>
            <w14:solidFill>
              <w14:schemeClr w14:val="tx1"/>
            </w14:solidFill>
          </w14:textFill>
        </w:rPr>
        <w:t>e</w:t>
      </w:r>
      <w:r>
        <w:rPr>
          <w:rFonts w:ascii="Bookman Old Style" w:hAnsi="Bookman Old Style" w:cs="Arial"/>
          <w:color w:val="000000" w:themeColor="text1"/>
          <w:sz w:val="24"/>
          <w:szCs w:val="24"/>
          <w14:textFill>
            <w14:solidFill>
              <w14:schemeClr w14:val="tx1"/>
            </w14:solidFill>
          </w14:textFill>
        </w:rPr>
        <w:t xml:space="preserve">rah pada </w:t>
      </w:r>
      <w:r>
        <w:rPr>
          <w:rFonts w:ascii="Bookman Old Style" w:hAnsi="Bookman Old Style" w:cs="Arial"/>
          <w:color w:val="000000" w:themeColor="text1"/>
          <w:sz w:val="24"/>
          <w:szCs w:val="24"/>
          <w:lang w:val="id-ID"/>
          <w14:textFill>
            <w14:solidFill>
              <w14:schemeClr w14:val="tx1"/>
            </w14:solidFill>
          </w14:textFill>
        </w:rPr>
        <w:t>tahun sebelumnya.</w:t>
      </w:r>
    </w:p>
    <w:p>
      <w:pPr>
        <w:tabs>
          <w:tab w:val="left" w:pos="567"/>
        </w:tabs>
        <w:spacing w:after="0" w:line="310" w:lineRule="auto"/>
        <w:ind w:left="561" w:right="-57" w:firstLine="561"/>
        <w:jc w:val="both"/>
        <w:rPr>
          <w:rFonts w:ascii="Bookman Old Style" w:hAnsi="Bookman Old Style" w:cs="Arial"/>
          <w:color w:val="000000" w:themeColor="text1"/>
          <w:sz w:val="24"/>
          <w:szCs w:val="24"/>
          <w14:textFill>
            <w14:solidFill>
              <w14:schemeClr w14:val="tx1"/>
            </w14:solidFill>
          </w14:textFill>
        </w:rPr>
      </w:pPr>
      <w:r>
        <w:rPr>
          <w:rFonts w:ascii="Bookman Old Style" w:hAnsi="Bookman Old Style" w:cs="Arial"/>
          <w:color w:val="000000" w:themeColor="text1"/>
          <w:sz w:val="24"/>
          <w:szCs w:val="24"/>
          <w14:textFill>
            <w14:solidFill>
              <w14:schemeClr w14:val="tx1"/>
            </w14:solidFill>
          </w14:textFill>
        </w:rPr>
        <w:t>Mengingat pentingnya dokumen Rencana Kerja Perangkat Daerah dalam mendukung penyelenggaraan program pembangunan tahunan pemerintah daerah, maka sejak awal tahapan penyusunan hingga penetapan dokumen Rencana Kerja Perangkat Daerah(Renja-PD) harus mengikuti tata cara dan alur penyusunannya sebagaimana tertuang dalam Peraturan Menteri Dalam Negeri Nomor 86 Tahun 2017 tentang Tata Cara Perencanaan, Pengendalian dan Evaluasi Pembangunan Daerah, Tata Tara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 Bahwa setiap Perangkat Daerah perlu menyusun Rencana Kerja (Renja) sebagai dokumen perencanaan pembangunan jangka pendek untuk jangka waktu satu tahun, yang disusun berpedoman kepada Rencana Kerja Pemerintah Daerah (RKPD) dan bersifat indikatif.</w:t>
      </w:r>
    </w:p>
    <w:p>
      <w:pPr>
        <w:tabs>
          <w:tab w:val="left" w:pos="8789"/>
        </w:tabs>
        <w:autoSpaceDE w:val="0"/>
        <w:autoSpaceDN w:val="0"/>
        <w:adjustRightInd w:val="0"/>
        <w:spacing w:after="0" w:line="317" w:lineRule="auto"/>
        <w:ind w:left="567" w:right="-56" w:firstLine="567"/>
        <w:jc w:val="both"/>
        <w:rPr>
          <w:rFonts w:ascii="Bookman Old Style" w:hAnsi="Bookman Old Style" w:cs="Arial"/>
          <w:color w:val="000000" w:themeColor="text1"/>
          <w:sz w:val="24"/>
          <w:szCs w:val="24"/>
          <w14:textFill>
            <w14:solidFill>
              <w14:schemeClr w14:val="tx1"/>
            </w14:solidFill>
          </w14:textFill>
        </w:rPr>
      </w:pPr>
      <w:r>
        <w:rPr>
          <w:rFonts w:ascii="Bookman Old Style" w:hAnsi="Bookman Old Style" w:cs="Arial"/>
          <w:color w:val="000000"/>
          <w:sz w:val="24"/>
          <w:szCs w:val="24"/>
        </w:rPr>
        <w:t xml:space="preserve">Proses penyusunan </w:t>
      </w:r>
      <w:r>
        <w:rPr>
          <w:rFonts w:ascii="Bookman Old Style" w:hAnsi="Bookman Old Style" w:cs="Arial"/>
          <w:color w:val="000000"/>
          <w:sz w:val="24"/>
          <w:szCs w:val="24"/>
          <w:lang w:val="id-ID"/>
        </w:rPr>
        <w:t xml:space="preserve">Rancangan </w:t>
      </w:r>
      <w:r>
        <w:rPr>
          <w:rFonts w:ascii="Bookman Old Style" w:hAnsi="Bookman Old Style" w:cs="Arial"/>
          <w:color w:val="000000"/>
          <w:sz w:val="24"/>
          <w:szCs w:val="24"/>
        </w:rPr>
        <w:t xml:space="preserve">Rencana </w:t>
      </w:r>
      <w:r>
        <w:rPr>
          <w:rFonts w:ascii="Bookman Old Style" w:hAnsi="Bookman Old Style" w:cs="Arial"/>
          <w:color w:val="000000"/>
          <w:sz w:val="24"/>
          <w:szCs w:val="24"/>
          <w:lang w:val="id-ID"/>
        </w:rPr>
        <w:t>Kerja Badan Pendapatan Daerah</w:t>
      </w:r>
      <w:r>
        <w:rPr>
          <w:rFonts w:ascii="Bookman Old Style" w:hAnsi="Bookman Old Style" w:cs="Arial"/>
          <w:color w:val="000000"/>
          <w:sz w:val="24"/>
          <w:szCs w:val="24"/>
        </w:rPr>
        <w:t xml:space="preserve"> Kabupaten Malang Tahun </w:t>
      </w:r>
      <w:r>
        <w:rPr>
          <w:rFonts w:ascii="Bookman Old Style" w:hAnsi="Bookman Old Style" w:cs="Arial"/>
          <w:color w:val="000000"/>
          <w:sz w:val="24"/>
          <w:szCs w:val="24"/>
          <w:lang w:val="id-ID"/>
        </w:rPr>
        <w:t>2020</w:t>
      </w:r>
      <w:r>
        <w:rPr>
          <w:rFonts w:ascii="Bookman Old Style" w:hAnsi="Bookman Old Style" w:cs="Arial"/>
          <w:color w:val="000000"/>
          <w:sz w:val="24"/>
          <w:szCs w:val="24"/>
        </w:rPr>
        <w:t xml:space="preserve"> diawali dari Surat </w:t>
      </w:r>
      <w:r>
        <w:rPr>
          <w:rFonts w:ascii="Bookman Old Style" w:hAnsi="Bookman Old Style" w:cs="Arial"/>
          <w:color w:val="000000"/>
          <w:sz w:val="24"/>
          <w:szCs w:val="24"/>
          <w:lang w:val="id-ID"/>
        </w:rPr>
        <w:t xml:space="preserve">Kepala Badan Perencanaan Pembangunan </w:t>
      </w:r>
      <w:r>
        <w:rPr>
          <w:rFonts w:ascii="Bookman Old Style" w:hAnsi="Bookman Old Style" w:cs="Arial"/>
          <w:color w:val="000000"/>
          <w:sz w:val="24"/>
          <w:szCs w:val="24"/>
        </w:rPr>
        <w:t xml:space="preserve">Kabupaten Malang tanggal </w:t>
      </w:r>
      <w:r>
        <w:rPr>
          <w:rFonts w:ascii="Bookman Old Style" w:hAnsi="Bookman Old Style" w:cs="Arial"/>
          <w:color w:val="000000"/>
          <w:sz w:val="24"/>
          <w:szCs w:val="24"/>
          <w:lang w:val="id-ID"/>
        </w:rPr>
        <w:t>16 Nopember</w:t>
      </w:r>
      <w:r>
        <w:rPr>
          <w:rFonts w:ascii="Bookman Old Style" w:hAnsi="Bookman Old Style" w:cs="Arial"/>
          <w:color w:val="000000"/>
          <w:sz w:val="24"/>
          <w:szCs w:val="24"/>
        </w:rPr>
        <w:t xml:space="preserve"> 2018 Nomor: </w:t>
      </w:r>
      <w:r>
        <w:rPr>
          <w:rFonts w:ascii="Bookman Old Style" w:hAnsi="Bookman Old Style" w:cs="Arial"/>
          <w:color w:val="000000"/>
          <w:sz w:val="24"/>
          <w:szCs w:val="24"/>
          <w:lang w:val="id-ID"/>
        </w:rPr>
        <w:t>050</w:t>
      </w:r>
      <w:r>
        <w:rPr>
          <w:rFonts w:ascii="Bookman Old Style" w:hAnsi="Bookman Old Style" w:cs="Arial"/>
          <w:color w:val="000000"/>
          <w:sz w:val="24"/>
          <w:szCs w:val="24"/>
        </w:rPr>
        <w:t>/</w:t>
      </w:r>
      <w:r>
        <w:rPr>
          <w:rFonts w:ascii="Bookman Old Style" w:hAnsi="Bookman Old Style" w:cs="Arial"/>
          <w:color w:val="000000"/>
          <w:sz w:val="24"/>
          <w:szCs w:val="24"/>
          <w:lang w:val="id-ID"/>
        </w:rPr>
        <w:t>7534</w:t>
      </w:r>
      <w:r>
        <w:rPr>
          <w:rFonts w:ascii="Bookman Old Style" w:hAnsi="Bookman Old Style" w:cs="Arial"/>
          <w:color w:val="000000"/>
          <w:sz w:val="24"/>
          <w:szCs w:val="24"/>
        </w:rPr>
        <w:t>/35.07.</w:t>
      </w:r>
      <w:r>
        <w:rPr>
          <w:rFonts w:ascii="Bookman Old Style" w:hAnsi="Bookman Old Style" w:cs="Arial"/>
          <w:color w:val="000000"/>
          <w:sz w:val="24"/>
          <w:szCs w:val="24"/>
          <w:lang w:val="id-ID"/>
        </w:rPr>
        <w:t>202</w:t>
      </w:r>
      <w:r>
        <w:rPr>
          <w:rFonts w:ascii="Bookman Old Style" w:hAnsi="Bookman Old Style" w:cs="Arial"/>
          <w:color w:val="000000"/>
          <w:sz w:val="24"/>
          <w:szCs w:val="24"/>
        </w:rPr>
        <w:t xml:space="preserve">/2018 tentang Penyusunan </w:t>
      </w:r>
      <w:r>
        <w:rPr>
          <w:rFonts w:ascii="Bookman Old Style" w:hAnsi="Bookman Old Style" w:cs="Arial"/>
          <w:color w:val="000000" w:themeColor="text1"/>
          <w:sz w:val="24"/>
          <w:szCs w:val="24"/>
          <w14:textFill>
            <w14:solidFill>
              <w14:schemeClr w14:val="tx1"/>
            </w14:solidFill>
          </w14:textFill>
        </w:rPr>
        <w:t>R</w:t>
      </w:r>
      <w:r>
        <w:rPr>
          <w:rFonts w:ascii="Bookman Old Style" w:hAnsi="Bookman Old Style" w:cs="Arial"/>
          <w:color w:val="000000" w:themeColor="text1"/>
          <w:sz w:val="24"/>
          <w:szCs w:val="24"/>
          <w:lang w:val="id-ID"/>
          <w14:textFill>
            <w14:solidFill>
              <w14:schemeClr w14:val="tx1"/>
            </w14:solidFill>
          </w14:textFill>
        </w:rPr>
        <w:t>a</w:t>
      </w:r>
      <w:r>
        <w:rPr>
          <w:rFonts w:ascii="Bookman Old Style" w:hAnsi="Bookman Old Style" w:cs="Arial"/>
          <w:color w:val="000000" w:themeColor="text1"/>
          <w:sz w:val="24"/>
          <w:szCs w:val="24"/>
          <w14:textFill>
            <w14:solidFill>
              <w14:schemeClr w14:val="tx1"/>
            </w14:solidFill>
          </w14:textFill>
        </w:rPr>
        <w:t>ncangan Awal Rencana Kerja (Renja) Perangkat Daerah Tahun 20</w:t>
      </w:r>
      <w:r>
        <w:rPr>
          <w:rFonts w:ascii="Bookman Old Style" w:hAnsi="Bookman Old Style" w:cs="Arial"/>
          <w:color w:val="000000" w:themeColor="text1"/>
          <w:sz w:val="24"/>
          <w:szCs w:val="24"/>
          <w:lang w:val="id-ID"/>
          <w14:textFill>
            <w14:solidFill>
              <w14:schemeClr w14:val="tx1"/>
            </w14:solidFill>
          </w14:textFill>
        </w:rPr>
        <w:t>20</w:t>
      </w:r>
      <w:r>
        <w:rPr>
          <w:rFonts w:ascii="Bookman Old Style" w:hAnsi="Bookman Old Style" w:cs="Arial"/>
          <w:color w:val="000000"/>
          <w:sz w:val="24"/>
          <w:szCs w:val="24"/>
        </w:rPr>
        <w:t xml:space="preserve">. Surat Kepala Badan </w:t>
      </w:r>
      <w:r>
        <w:rPr>
          <w:rFonts w:ascii="Bookman Old Style" w:hAnsi="Bookman Old Style" w:cs="Arial"/>
          <w:color w:val="000000"/>
          <w:spacing w:val="-7"/>
          <w:sz w:val="24"/>
          <w:szCs w:val="24"/>
        </w:rPr>
        <w:t>Perencanaan Pembangunan Daerah Kabupaten Malang, tanggal 1 Maret 2019</w:t>
      </w:r>
      <w:r>
        <w:rPr>
          <w:rFonts w:ascii="Bookman Old Style" w:hAnsi="Bookman Old Style" w:cs="Arial"/>
          <w:color w:val="000000"/>
          <w:sz w:val="24"/>
          <w:szCs w:val="24"/>
        </w:rPr>
        <w:t xml:space="preserve">, Nomor: 050/1371/35.07.202/2019 Hal Rancangan Renja Perangkat Daerah Tahun 2020. Serta surat Edaran Bupati Malang, tanggal                8 Februari 2019, Nomor: 050/1466/35.05.202/2019, Hal Pedoman Penyempurnaan Rancangan Awal Rencana Kerja (Renja) Perangkat Daerah tahun 2020. </w:t>
      </w:r>
      <w:r>
        <w:rPr>
          <w:rFonts w:ascii="Bookman Old Style" w:hAnsi="Bookman Old Style" w:cs="Arial"/>
          <w:color w:val="000000"/>
          <w:sz w:val="24"/>
          <w:szCs w:val="24"/>
          <w:lang w:val="id-ID"/>
        </w:rPr>
        <w:t>Selanjutnya dilaksanakan</w:t>
      </w:r>
      <w:r>
        <w:rPr>
          <w:rFonts w:ascii="Bookman Old Style" w:hAnsi="Bookman Old Style" w:cs="Arial"/>
          <w:color w:val="000000"/>
          <w:sz w:val="24"/>
          <w:szCs w:val="24"/>
        </w:rPr>
        <w:t xml:space="preserve"> </w:t>
      </w:r>
      <w:r>
        <w:rPr>
          <w:rFonts w:ascii="Bookman Old Style" w:hAnsi="Bookman Old Style" w:cs="Arial"/>
          <w:color w:val="000000" w:themeColor="text1"/>
          <w:sz w:val="24"/>
          <w:szCs w:val="24"/>
          <w14:textFill>
            <w14:solidFill>
              <w14:schemeClr w14:val="tx1"/>
            </w14:solidFill>
          </w14:textFill>
        </w:rPr>
        <w:t xml:space="preserve">penyusunan rancangan keputusan Kepala Daerah tentang pembentukan tim penyusun Renja Perangkat Daerah, orientasi mengenai Renja Perangkat Daerah, penyusunan agenda kerja tim penyusun Renja Perangkat Daerah, penyiapan data dan informasi perencanaan pembangunan Daerah berdasarkan SIPD. Selanjutnya melaksanakan </w:t>
      </w:r>
      <w:r>
        <w:rPr>
          <w:rFonts w:ascii="Bookman Old Style" w:hAnsi="Bookman Old Style" w:cs="Arial"/>
          <w:color w:val="000000" w:themeColor="text1"/>
          <w:sz w:val="24"/>
          <w:szCs w:val="24"/>
          <w:lang/>
          <w14:textFill>
            <w14:solidFill>
              <w14:schemeClr w14:val="tx1"/>
            </w14:solidFill>
          </w14:textFill>
        </w:rPr>
        <w:t xml:space="preserve">analisis gambaran pelayanan, </w:t>
      </w:r>
      <w:r>
        <w:rPr>
          <w:rFonts w:ascii="Bookman Old Style" w:hAnsi="Bookman Old Style" w:cs="Arial"/>
          <w:color w:val="000000" w:themeColor="text1"/>
          <w:sz w:val="24"/>
          <w:szCs w:val="24"/>
          <w14:textFill>
            <w14:solidFill>
              <w14:schemeClr w14:val="tx1"/>
            </w14:solidFill>
          </w14:textFill>
        </w:rPr>
        <w:t>mereviu hasil evaluasi pelaksanaan Renja Perangkat Daerah tahun sebelumnya, perumusan rencana program, kegiatan, indikator kinerja, pendanaan indikatif, lokasi kegiatan dan kelompok sasaran berdasarkan rencana program, kegiatan, indikator kinerja, pendanaan indikatif, lokasi kegiatan dan kelompok sasaran pada rancangan awal RKPD.</w:t>
      </w:r>
    </w:p>
    <w:p>
      <w:pPr>
        <w:tabs>
          <w:tab w:val="left" w:pos="540"/>
          <w:tab w:val="left" w:pos="1440"/>
        </w:tabs>
        <w:spacing w:after="0" w:line="317" w:lineRule="auto"/>
        <w:ind w:left="540" w:right="34" w:firstLine="900"/>
        <w:jc w:val="both"/>
        <w:rPr>
          <w:rFonts w:ascii="Bookman Old Style" w:hAnsi="Bookman Old Style" w:cs="Arial"/>
          <w:color w:val="000000" w:themeColor="text1"/>
          <w:sz w:val="24"/>
          <w:szCs w:val="24"/>
          <w:lang w:val="en-GB"/>
          <w14:textFill>
            <w14:solidFill>
              <w14:schemeClr w14:val="tx1"/>
            </w14:solidFill>
          </w14:textFill>
        </w:rPr>
      </w:pPr>
      <w:r>
        <w:rPr>
          <w:rFonts w:ascii="Bookman Old Style" w:hAnsi="Bookman Old Style" w:cs="Arial"/>
          <w:color w:val="000000" w:themeColor="text1"/>
          <w:sz w:val="24"/>
          <w:szCs w:val="24"/>
          <w:lang/>
          <w14:textFill>
            <w14:solidFill>
              <w14:schemeClr w14:val="tx1"/>
            </w14:solidFill>
          </w14:textFill>
        </w:rPr>
        <w:t xml:space="preserve">Penyusunan </w:t>
      </w:r>
      <w:r>
        <w:rPr>
          <w:rFonts w:ascii="Bookman Old Style" w:hAnsi="Bookman Old Style" w:cs="Arial"/>
          <w:color w:val="000000" w:themeColor="text1"/>
          <w:sz w:val="24"/>
          <w:szCs w:val="24"/>
          <w14:textFill>
            <w14:solidFill>
              <w14:schemeClr w14:val="tx1"/>
            </w14:solidFill>
          </w14:textFill>
        </w:rPr>
        <w:t xml:space="preserve">Rancangan Awal </w:t>
      </w:r>
      <w:r>
        <w:rPr>
          <w:rFonts w:ascii="Bookman Old Style" w:hAnsi="Bookman Old Style" w:cs="Arial"/>
          <w:color w:val="000000" w:themeColor="text1"/>
          <w:sz w:val="24"/>
          <w:szCs w:val="24"/>
          <w:lang/>
          <w14:textFill>
            <w14:solidFill>
              <w14:schemeClr w14:val="tx1"/>
            </w14:solidFill>
          </w14:textFill>
        </w:rPr>
        <w:t>Rencana Kerja Badan Pendapatan Daerah tahun 20</w:t>
      </w:r>
      <w:r>
        <w:rPr>
          <w:rFonts w:ascii="Bookman Old Style" w:hAnsi="Bookman Old Style" w:cs="Arial"/>
          <w:color w:val="000000" w:themeColor="text1"/>
          <w:sz w:val="24"/>
          <w:szCs w:val="24"/>
          <w:lang w:val="id-ID"/>
          <w14:textFill>
            <w14:solidFill>
              <w14:schemeClr w14:val="tx1"/>
            </w14:solidFill>
          </w14:textFill>
        </w:rPr>
        <w:t>20</w:t>
      </w:r>
      <w:r>
        <w:rPr>
          <w:rFonts w:ascii="Bookman Old Style" w:hAnsi="Bookman Old Style" w:cs="Arial"/>
          <w:color w:val="000000" w:themeColor="text1"/>
          <w:sz w:val="24"/>
          <w:szCs w:val="24"/>
          <w:lang/>
          <w14:textFill>
            <w14:solidFill>
              <w14:schemeClr w14:val="tx1"/>
            </w14:solidFill>
          </w14:textFill>
        </w:rPr>
        <w:t xml:space="preserve"> mengacu pada </w:t>
      </w:r>
      <w:r>
        <w:rPr>
          <w:rFonts w:ascii="Bookman Old Style" w:hAnsi="Bookman Old Style" w:cs="Arial"/>
          <w:sz w:val="24"/>
          <w:szCs w:val="24"/>
        </w:rPr>
        <w:t xml:space="preserve">Rancangan Awal </w:t>
      </w:r>
      <w:r>
        <w:rPr>
          <w:rFonts w:ascii="Bookman Old Style" w:hAnsi="Bookman Old Style" w:cs="Arial"/>
          <w:sz w:val="24"/>
          <w:szCs w:val="24"/>
          <w:lang/>
        </w:rPr>
        <w:t>Rencana Kerja Pemerintah Daerah Kabupaten Malang tahun 20</w:t>
      </w:r>
      <w:r>
        <w:rPr>
          <w:rFonts w:ascii="Bookman Old Style" w:hAnsi="Bookman Old Style" w:cs="Arial"/>
          <w:sz w:val="24"/>
          <w:szCs w:val="24"/>
          <w:lang w:val="id-ID"/>
        </w:rPr>
        <w:t>20</w:t>
      </w:r>
      <w:r>
        <w:rPr>
          <w:rFonts w:ascii="Bookman Old Style" w:hAnsi="Bookman Old Style" w:cs="Arial"/>
          <w:sz w:val="24"/>
          <w:szCs w:val="24"/>
        </w:rPr>
        <w:t xml:space="preserve"> dan </w:t>
      </w:r>
      <w:r>
        <w:rPr>
          <w:rFonts w:ascii="Bookman Old Style" w:hAnsi="Bookman Old Style" w:cs="Arial"/>
          <w:sz w:val="24"/>
          <w:szCs w:val="24"/>
          <w:lang w:val="id-ID"/>
        </w:rPr>
        <w:t xml:space="preserve">Perubahan </w:t>
      </w:r>
      <w:r>
        <w:rPr>
          <w:rFonts w:ascii="Bookman Old Style" w:hAnsi="Bookman Old Style" w:cs="Arial"/>
          <w:sz w:val="24"/>
          <w:szCs w:val="24"/>
        </w:rPr>
        <w:t xml:space="preserve">Renstra </w:t>
      </w:r>
      <w:r>
        <w:rPr>
          <w:rFonts w:ascii="Bookman Old Style" w:hAnsi="Bookman Old Style" w:cs="Arial"/>
          <w:sz w:val="24"/>
          <w:szCs w:val="24"/>
          <w:lang/>
        </w:rPr>
        <w:t>Badan Pendapatan Daerah</w:t>
      </w:r>
      <w:r>
        <w:rPr>
          <w:rFonts w:ascii="Bookman Old Style" w:hAnsi="Bookman Old Style" w:cs="Arial"/>
          <w:sz w:val="24"/>
          <w:szCs w:val="24"/>
        </w:rPr>
        <w:t xml:space="preserve"> 2016-2021. Tema Pembangunan Tahun 2020 adalah “</w:t>
      </w:r>
      <w:r>
        <w:rPr>
          <w:rFonts w:ascii="Bookman Old Style" w:hAnsi="Bookman Old Style" w:cs="Arial"/>
          <w:b/>
          <w:sz w:val="24"/>
          <w:szCs w:val="24"/>
        </w:rPr>
        <w:t>Memantapkan Daya Saing E</w:t>
      </w:r>
      <w:r>
        <w:rPr>
          <w:rFonts w:ascii="Bookman Old Style" w:hAnsi="Bookman Old Style" w:cs="Arial"/>
          <w:b/>
          <w:color w:val="000000" w:themeColor="text1"/>
          <w:sz w:val="24"/>
          <w:szCs w:val="24"/>
          <w14:textFill>
            <w14:solidFill>
              <w14:schemeClr w14:val="tx1"/>
            </w14:solidFill>
          </w14:textFill>
        </w:rPr>
        <w:t>konomi Daerah yang Didukung Peningkatan Profesionalisme Aparatur , Potensi Pariwisata dan Daya Dukung Lingkungan Hidup Dalam Upaya Menurunkan Angka Kemiskinan</w:t>
      </w:r>
      <w:r>
        <w:rPr>
          <w:rFonts w:ascii="Bookman Old Style" w:hAnsi="Bookman Old Style" w:cs="Arial"/>
          <w:color w:val="000000" w:themeColor="text1"/>
          <w:sz w:val="24"/>
          <w:szCs w:val="24"/>
          <w14:textFill>
            <w14:solidFill>
              <w14:schemeClr w14:val="tx1"/>
            </w14:solidFill>
          </w14:textFill>
        </w:rPr>
        <w:t xml:space="preserve">”. Kaitan tema tersebut dengan Perubahan Renstra </w:t>
      </w:r>
      <w:r>
        <w:rPr>
          <w:rFonts w:ascii="Bookman Old Style" w:hAnsi="Bookman Old Style" w:cs="Arial"/>
          <w:color w:val="000000" w:themeColor="text1"/>
          <w:sz w:val="24"/>
          <w:szCs w:val="24"/>
          <w:lang/>
          <w14:textFill>
            <w14:solidFill>
              <w14:schemeClr w14:val="tx1"/>
            </w14:solidFill>
          </w14:textFill>
        </w:rPr>
        <w:t>Badan Pendapatan Daerah</w:t>
      </w:r>
      <w:r>
        <w:rPr>
          <w:rFonts w:ascii="Bookman Old Style" w:hAnsi="Bookman Old Style" w:cs="Arial"/>
          <w:color w:val="000000" w:themeColor="text1"/>
          <w:sz w:val="24"/>
          <w:szCs w:val="24"/>
          <w14:textFill>
            <w14:solidFill>
              <w14:schemeClr w14:val="tx1"/>
            </w14:solidFill>
          </w14:textFill>
        </w:rPr>
        <w:t xml:space="preserve"> 2016-2021, </w:t>
      </w:r>
      <w:r>
        <w:rPr>
          <w:rFonts w:ascii="Bookman Old Style" w:hAnsi="Bookman Old Style" w:cs="Arial"/>
          <w:color w:val="000000" w:themeColor="text1"/>
          <w:sz w:val="24"/>
          <w:szCs w:val="24"/>
          <w:lang/>
          <w14:textFill>
            <w14:solidFill>
              <w14:schemeClr w14:val="tx1"/>
            </w14:solidFill>
          </w14:textFill>
        </w:rPr>
        <w:t>Badan Pendapatan Daerah berperandalam mendukung Misi ke</w:t>
      </w:r>
      <w:r>
        <w:rPr>
          <w:rFonts w:ascii="Bookman Old Style" w:hAnsi="Bookman Old Style" w:cs="Arial"/>
          <w:color w:val="000000" w:themeColor="text1"/>
          <w:sz w:val="24"/>
          <w:szCs w:val="24"/>
          <w:lang w:val="id-ID"/>
          <w14:textFill>
            <w14:solidFill>
              <w14:schemeClr w14:val="tx1"/>
            </w14:solidFill>
          </w14:textFill>
        </w:rPr>
        <w:t>-4</w:t>
      </w:r>
      <w:r>
        <w:rPr>
          <w:rFonts w:ascii="Bookman Old Style" w:hAnsi="Bookman Old Style" w:cs="Arial"/>
          <w:color w:val="000000" w:themeColor="text1"/>
          <w:sz w:val="24"/>
          <w:szCs w:val="24"/>
          <w:lang/>
          <w14:textFill>
            <w14:solidFill>
              <w14:schemeClr w14:val="tx1"/>
            </w14:solidFill>
          </w14:textFill>
        </w:rPr>
        <w:t xml:space="preserve"> Bupati Malang yaitu </w:t>
      </w:r>
      <w:r>
        <w:rPr>
          <w:rFonts w:ascii="Bookman Old Style" w:hAnsi="Bookman Old Style" w:cs="Arial"/>
          <w:color w:val="000000" w:themeColor="text1"/>
          <w:sz w:val="24"/>
          <w:szCs w:val="24"/>
          <w14:textFill>
            <w14:solidFill>
              <w14:schemeClr w14:val="tx1"/>
            </w14:solidFill>
          </w14:textFill>
        </w:rPr>
        <w:t>Mengembangkanekonomi masyarakat berbasis pertanian,pariwisata, dan industri kreatif</w:t>
      </w:r>
      <w:r>
        <w:rPr>
          <w:rFonts w:ascii="Bookman Old Style" w:hAnsi="Bookman Old Style" w:cs="Arial"/>
          <w:color w:val="000000" w:themeColor="text1"/>
          <w:sz w:val="24"/>
          <w:szCs w:val="24"/>
          <w:lang/>
          <w14:textFill>
            <w14:solidFill>
              <w14:schemeClr w14:val="tx1"/>
            </w14:solidFill>
          </w14:textFill>
        </w:rPr>
        <w:t>.</w:t>
      </w:r>
      <w:r>
        <w:rPr>
          <w:rFonts w:ascii="Bookman Old Style" w:hAnsi="Bookman Old Style" w:cs="Arial"/>
          <w:color w:val="000000" w:themeColor="text1"/>
          <w:sz w:val="24"/>
          <w:szCs w:val="24"/>
          <w:lang w:val="id-ID"/>
          <w14:textFill>
            <w14:solidFill>
              <w14:schemeClr w14:val="tx1"/>
            </w14:solidFill>
          </w14:textFill>
        </w:rPr>
        <w:t xml:space="preserve">Misi ini merupakan upaya Pemerintah Kabupaten </w:t>
      </w:r>
      <w:r>
        <w:rPr>
          <w:rFonts w:ascii="Bookman Old Style" w:hAnsi="Bookman Old Style" w:cs="Arial"/>
          <w:color w:val="000000" w:themeColor="text1"/>
          <w:sz w:val="24"/>
          <w:szCs w:val="24"/>
          <w14:textFill>
            <w14:solidFill>
              <w14:schemeClr w14:val="tx1"/>
            </w14:solidFill>
          </w14:textFill>
        </w:rPr>
        <w:t>Malang</w:t>
      </w:r>
      <w:r>
        <w:rPr>
          <w:rFonts w:ascii="Bookman Old Style" w:hAnsi="Bookman Old Style" w:cs="Arial"/>
          <w:color w:val="000000" w:themeColor="text1"/>
          <w:sz w:val="24"/>
          <w:szCs w:val="24"/>
          <w:lang w:val="id-ID"/>
          <w14:textFill>
            <w14:solidFill>
              <w14:schemeClr w14:val="tx1"/>
            </w14:solidFill>
          </w14:textFill>
        </w:rPr>
        <w:t xml:space="preserve"> dalam terus menjaga cita-cita dalam pelaksanaan pemerintahan dan pembangunan</w:t>
      </w:r>
      <w:r>
        <w:rPr>
          <w:rFonts w:ascii="Bookman Old Style" w:hAnsi="Bookman Old Style" w:cs="Arial"/>
          <w:color w:val="000000" w:themeColor="text1"/>
          <w:sz w:val="24"/>
          <w:szCs w:val="24"/>
          <w14:textFill>
            <w14:solidFill>
              <w14:schemeClr w14:val="tx1"/>
            </w14:solidFill>
          </w14:textFill>
        </w:rPr>
        <w:t xml:space="preserve"> </w:t>
      </w:r>
      <w:r>
        <w:rPr>
          <w:rFonts w:ascii="Bookman Old Style" w:hAnsi="Bookman Old Style" w:cs="Arial"/>
          <w:color w:val="000000" w:themeColor="text1"/>
          <w:sz w:val="24"/>
          <w:szCs w:val="24"/>
          <w:lang w:val="id-ID"/>
          <w14:textFill>
            <w14:solidFill>
              <w14:schemeClr w14:val="tx1"/>
            </w14:solidFill>
          </w14:textFill>
        </w:rPr>
        <w:t xml:space="preserve">yang mengedepankan </w:t>
      </w:r>
      <w:r>
        <w:rPr>
          <w:rFonts w:ascii="Bookman Old Style" w:hAnsi="Bookman Old Style" w:cs="Arial"/>
          <w:color w:val="000000" w:themeColor="text1"/>
          <w:sz w:val="24"/>
          <w:szCs w:val="24"/>
          <w14:textFill>
            <w14:solidFill>
              <w14:schemeClr w14:val="tx1"/>
            </w14:solidFill>
          </w14:textFill>
        </w:rPr>
        <w:t>pengembangan ekonomi dilingkungan masyarakat</w:t>
      </w:r>
      <w:r>
        <w:rPr>
          <w:rFonts w:ascii="Bookman Old Style" w:hAnsi="Bookman Old Style" w:cs="Arial"/>
          <w:color w:val="000000" w:themeColor="text1"/>
          <w:sz w:val="24"/>
          <w:szCs w:val="24"/>
          <w:lang w:val="id-ID"/>
          <w14:textFill>
            <w14:solidFill>
              <w14:schemeClr w14:val="tx1"/>
            </w14:solidFill>
          </w14:textFill>
        </w:rPr>
        <w:t>.</w:t>
      </w:r>
      <w:r>
        <w:rPr>
          <w:rFonts w:ascii="Bookman Old Style" w:hAnsi="Bookman Old Style" w:cs="Arial"/>
          <w:color w:val="000000" w:themeColor="text1"/>
          <w:sz w:val="24"/>
          <w:szCs w:val="24"/>
          <w14:textFill>
            <w14:solidFill>
              <w14:schemeClr w14:val="tx1"/>
            </w14:solidFill>
          </w14:textFill>
        </w:rPr>
        <w:t xml:space="preserve"> </w:t>
      </w:r>
      <w:r>
        <w:rPr>
          <w:rFonts w:ascii="Bookman Old Style" w:hAnsi="Bookman Old Style" w:cs="Arial"/>
          <w:color w:val="000000" w:themeColor="text1"/>
          <w:sz w:val="24"/>
          <w:szCs w:val="24"/>
          <w:lang w:val="id-ID"/>
          <w14:textFill>
            <w14:solidFill>
              <w14:schemeClr w14:val="tx1"/>
            </w14:solidFill>
          </w14:textFill>
        </w:rPr>
        <w:t>Penyampaian Rancangan Awal Rencana Kerja Perangkat Daerah Tahun 2020 yang merupakan dokumen perencanaan untuk periode</w:t>
      </w:r>
      <w:r>
        <w:rPr>
          <w:rFonts w:ascii="Bookman Old Style" w:hAnsi="Bookman Old Style" w:cs="Arial"/>
          <w:color w:val="000000" w:themeColor="text1"/>
          <w:sz w:val="24"/>
          <w:szCs w:val="24"/>
          <w:lang w:val="en-AU"/>
          <w14:textFill>
            <w14:solidFill>
              <w14:schemeClr w14:val="tx1"/>
            </w14:solidFill>
          </w14:textFill>
        </w:rPr>
        <w:t xml:space="preserve"> 1</w:t>
      </w:r>
      <w:r>
        <w:rPr>
          <w:rFonts w:ascii="Bookman Old Style" w:hAnsi="Bookman Old Style" w:cs="Arial"/>
          <w:color w:val="000000" w:themeColor="text1"/>
          <w:sz w:val="24"/>
          <w:szCs w:val="24"/>
          <w:lang w:val="id-ID"/>
          <w14:textFill>
            <w14:solidFill>
              <w14:schemeClr w14:val="tx1"/>
            </w14:solidFill>
          </w14:textFill>
        </w:rPr>
        <w:t xml:space="preserve"> (</w:t>
      </w:r>
      <w:r>
        <w:rPr>
          <w:rFonts w:ascii="Bookman Old Style" w:hAnsi="Bookman Old Style" w:cs="Arial"/>
          <w:color w:val="000000" w:themeColor="text1"/>
          <w:sz w:val="24"/>
          <w:szCs w:val="24"/>
          <w:lang w:val="en-AU"/>
          <w14:textFill>
            <w14:solidFill>
              <w14:schemeClr w14:val="tx1"/>
            </w14:solidFill>
          </w14:textFill>
        </w:rPr>
        <w:t>satu</w:t>
      </w:r>
      <w:r>
        <w:rPr>
          <w:rFonts w:ascii="Bookman Old Style" w:hAnsi="Bookman Old Style" w:cs="Arial"/>
          <w:color w:val="000000" w:themeColor="text1"/>
          <w:sz w:val="24"/>
          <w:szCs w:val="24"/>
          <w:lang w:val="id-ID"/>
          <w14:textFill>
            <w14:solidFill>
              <w14:schemeClr w14:val="tx1"/>
            </w14:solidFill>
          </w14:textFill>
        </w:rPr>
        <w:t>) tahun</w:t>
      </w:r>
      <w:r>
        <w:rPr>
          <w:rFonts w:ascii="Bookman Old Style" w:hAnsi="Bookman Old Style" w:cs="Arial"/>
          <w:color w:val="000000" w:themeColor="text1"/>
          <w:sz w:val="24"/>
          <w:szCs w:val="24"/>
          <w:lang w:val="en-GB"/>
          <w14:textFill>
            <w14:solidFill>
              <w14:schemeClr w14:val="tx1"/>
            </w14:solidFill>
          </w14:textFill>
        </w:rPr>
        <w:t xml:space="preserve"> </w:t>
      </w:r>
      <w:r>
        <w:rPr>
          <w:rFonts w:ascii="Bookman Old Style" w:hAnsi="Bookman Old Style" w:cs="Arial"/>
          <w:color w:val="000000" w:themeColor="text1"/>
          <w:sz w:val="24"/>
          <w:szCs w:val="24"/>
          <w:lang w:val="id-ID"/>
          <w14:textFill>
            <w14:solidFill>
              <w14:schemeClr w14:val="tx1"/>
            </w14:solidFill>
          </w14:textFill>
        </w:rPr>
        <w:t>yang akan datang, bertujuan menjamin kesesuaian antara program, kegiatan, lokasi kegiatan, kelompok sasaran serta prakiraan maju tahun 2021, dan kesesuaian dengan dokumen perencanaan yaitu</w:t>
      </w:r>
      <w:r>
        <w:rPr>
          <w:rFonts w:ascii="Bookman Old Style" w:hAnsi="Bookman Old Style" w:cs="Arial"/>
          <w:color w:val="000000" w:themeColor="text1"/>
          <w:sz w:val="24"/>
          <w:szCs w:val="24"/>
          <w:lang w:val="en-GB"/>
          <w14:textFill>
            <w14:solidFill>
              <w14:schemeClr w14:val="tx1"/>
            </w14:solidFill>
          </w14:textFill>
        </w:rPr>
        <w:t xml:space="preserve">: </w:t>
      </w:r>
      <w:r>
        <w:rPr>
          <w:rFonts w:ascii="Bookman Old Style" w:hAnsi="Bookman Old Style" w:cs="Arial"/>
          <w:color w:val="000000" w:themeColor="text1"/>
          <w:sz w:val="24"/>
          <w:szCs w:val="24"/>
          <w:lang w:val="id-ID"/>
          <w14:textFill>
            <w14:solidFill>
              <w14:schemeClr w14:val="tx1"/>
            </w14:solidFill>
          </w14:textFill>
        </w:rPr>
        <w:t>Rencana Pembangunan Jangka Menengah Daerah (RPJMD) Perubahan Kabupaten Malang Tahun 2016–20</w:t>
      </w:r>
      <w:r>
        <w:rPr>
          <w:rFonts w:ascii="Bookman Old Style" w:hAnsi="Bookman Old Style" w:cs="Arial"/>
          <w:sz w:val="24"/>
          <w:szCs w:val="24"/>
          <w:lang w:val="id-ID"/>
        </w:rPr>
        <w:t xml:space="preserve">21, </w:t>
      </w:r>
      <w:r>
        <w:rPr>
          <w:rFonts w:ascii="Bookman Old Style" w:hAnsi="Bookman Old Style" w:cs="Arial"/>
          <w:sz w:val="24"/>
          <w:szCs w:val="24"/>
        </w:rPr>
        <w:t xml:space="preserve">       </w:t>
      </w:r>
      <w:r>
        <w:rPr>
          <w:rFonts w:ascii="Bookman Old Style" w:hAnsi="Bookman Old Style" w:cs="Arial"/>
          <w:sz w:val="24"/>
          <w:szCs w:val="24"/>
          <w:lang w:val="id-ID"/>
        </w:rPr>
        <w:t>Perubahan Rencana Strategis (Renstra) Badan Pendapatan Daerah</w:t>
      </w:r>
      <w:r>
        <w:rPr>
          <w:rFonts w:ascii="Bookman Old Style" w:hAnsi="Bookman Old Style" w:cs="Arial"/>
          <w:sz w:val="24"/>
          <w:szCs w:val="24"/>
        </w:rPr>
        <w:t xml:space="preserve">    </w:t>
      </w:r>
      <w:r>
        <w:rPr>
          <w:rFonts w:ascii="Bookman Old Style" w:hAnsi="Bookman Old Style" w:cs="Arial"/>
          <w:sz w:val="24"/>
          <w:szCs w:val="24"/>
          <w:lang w:val="id-ID"/>
        </w:rPr>
        <w:t>Tahun 2016-2021</w:t>
      </w:r>
      <w:r>
        <w:rPr>
          <w:rFonts w:ascii="Bookman Old Style" w:hAnsi="Bookman Old Style" w:cs="Arial"/>
          <w:sz w:val="24"/>
          <w:szCs w:val="24"/>
          <w:lang w:val="en-AU"/>
        </w:rPr>
        <w:t>,</w:t>
      </w:r>
      <w:r>
        <w:rPr>
          <w:rFonts w:ascii="Bookman Old Style" w:hAnsi="Bookman Old Style" w:cs="Arial"/>
          <w:sz w:val="24"/>
          <w:szCs w:val="24"/>
          <w:lang w:val="id-ID"/>
        </w:rPr>
        <w:t xml:space="preserve"> dan Rancangan Awal Rencana Kerja Pembangunan Daerah (RKPD) Kabupaten Malang Tahun 2020.</w:t>
      </w:r>
      <w:r>
        <w:rPr>
          <w:rFonts w:ascii="Bookman Old Style" w:hAnsi="Bookman Old Style" w:cs="Arial"/>
          <w:sz w:val="24"/>
          <w:szCs w:val="24"/>
        </w:rPr>
        <w:t>Rencana Kerja juga harus mengakomodir hasil Musyawarah Perencanaan Pembangunan (Musrenbang), Forum Satuan Kerja Pemerintah Daerah, pokok-pokok pikiran Dewan Perwakilan Rakyat Daerah, dan kebijakan pemerintah pusat/Provinsi Jawa Timur.</w:t>
      </w:r>
    </w:p>
    <w:p>
      <w:pPr>
        <w:pStyle w:val="15"/>
        <w:spacing w:line="317" w:lineRule="auto"/>
        <w:ind w:left="562" w:firstLine="720"/>
        <w:jc w:val="both"/>
        <w:rPr>
          <w:rFonts w:ascii="Bookman Old Style" w:hAnsi="Bookman Old Style" w:cs="Arial"/>
          <w:color w:val="000000" w:themeColor="text1"/>
          <w:sz w:val="24"/>
          <w:szCs w:val="24"/>
          <w:lang/>
          <w14:textFill>
            <w14:solidFill>
              <w14:schemeClr w14:val="tx1"/>
            </w14:solidFill>
          </w14:textFill>
        </w:rPr>
      </w:pPr>
      <w:r>
        <w:rPr>
          <w:rFonts w:ascii="Bookman Old Style" w:hAnsi="Bookman Old Style" w:cs="Arial"/>
          <w:sz w:val="24"/>
          <w:szCs w:val="24"/>
        </w:rPr>
        <w:tab/>
      </w:r>
      <w:r>
        <w:rPr>
          <w:rFonts w:ascii="Bookman Old Style" w:hAnsi="Bookman Old Style" w:cs="Arial"/>
          <w:sz w:val="24"/>
          <w:szCs w:val="24"/>
        </w:rPr>
        <w:t>R</w:t>
      </w:r>
      <w:r>
        <w:rPr>
          <w:rFonts w:ascii="Bookman Old Style" w:hAnsi="Bookman Old Style" w:cs="Arial"/>
          <w:sz w:val="24"/>
          <w:szCs w:val="24"/>
          <w:lang w:val="en-US"/>
        </w:rPr>
        <w:t xml:space="preserve">encana </w:t>
      </w:r>
      <w:r>
        <w:rPr>
          <w:rFonts w:ascii="Bookman Old Style" w:hAnsi="Bookman Old Style" w:cs="Arial"/>
          <w:sz w:val="24"/>
          <w:szCs w:val="24"/>
        </w:rPr>
        <w:t>K</w:t>
      </w:r>
      <w:r>
        <w:rPr>
          <w:rFonts w:ascii="Bookman Old Style" w:hAnsi="Bookman Old Style" w:cs="Arial"/>
          <w:sz w:val="24"/>
          <w:szCs w:val="24"/>
          <w:lang w:val="en-US"/>
        </w:rPr>
        <w:t xml:space="preserve">erja </w:t>
      </w:r>
      <w:r>
        <w:rPr>
          <w:rFonts w:ascii="Bookman Old Style" w:hAnsi="Bookman Old Style" w:cs="Arial"/>
          <w:sz w:val="24"/>
          <w:szCs w:val="24"/>
        </w:rPr>
        <w:t>P</w:t>
      </w:r>
      <w:r>
        <w:rPr>
          <w:rFonts w:ascii="Bookman Old Style" w:hAnsi="Bookman Old Style" w:cs="Arial"/>
          <w:sz w:val="24"/>
          <w:szCs w:val="24"/>
          <w:lang w:val="en-US"/>
        </w:rPr>
        <w:t xml:space="preserve">emerintah </w:t>
      </w:r>
      <w:r>
        <w:rPr>
          <w:rFonts w:ascii="Bookman Old Style" w:hAnsi="Bookman Old Style" w:cs="Arial"/>
          <w:sz w:val="24"/>
          <w:szCs w:val="24"/>
        </w:rPr>
        <w:t>D</w:t>
      </w:r>
      <w:r>
        <w:rPr>
          <w:rFonts w:ascii="Bookman Old Style" w:hAnsi="Bookman Old Style" w:cs="Arial"/>
          <w:sz w:val="24"/>
          <w:szCs w:val="24"/>
          <w:lang w:val="en-US"/>
        </w:rPr>
        <w:t>aerah</w:t>
      </w:r>
      <w:r>
        <w:rPr>
          <w:rFonts w:ascii="Bookman Old Style" w:hAnsi="Bookman Old Style" w:cs="Arial"/>
          <w:sz w:val="24"/>
          <w:szCs w:val="24"/>
        </w:rPr>
        <w:t xml:space="preserve"> digunakan sebagai pedoman/acuan dalam</w:t>
      </w:r>
      <w:r>
        <w:rPr>
          <w:rFonts w:ascii="Bookman Old Style" w:hAnsi="Bookman Old Style" w:cs="Arial"/>
          <w:color w:val="000000" w:themeColor="text1"/>
          <w:sz w:val="24"/>
          <w:szCs w:val="24"/>
          <w14:textFill>
            <w14:solidFill>
              <w14:schemeClr w14:val="tx1"/>
            </w14:solidFill>
          </w14:textFill>
        </w:rPr>
        <w:t xml:space="preserve"> penyusunan Rancangan Anggaran Pendapatan Belanja Daerah (RAPBD). Berkaitan dengan itu, maka R</w:t>
      </w:r>
      <w:r>
        <w:rPr>
          <w:rFonts w:ascii="Bookman Old Style" w:hAnsi="Bookman Old Style" w:cs="Arial"/>
          <w:color w:val="000000" w:themeColor="text1"/>
          <w:sz w:val="24"/>
          <w:szCs w:val="24"/>
          <w:lang w:val="en-US"/>
          <w14:textFill>
            <w14:solidFill>
              <w14:schemeClr w14:val="tx1"/>
            </w14:solidFill>
          </w14:textFill>
        </w:rPr>
        <w:t xml:space="preserve">encana </w:t>
      </w:r>
      <w:r>
        <w:rPr>
          <w:rFonts w:ascii="Bookman Old Style" w:hAnsi="Bookman Old Style" w:cs="Arial"/>
          <w:color w:val="000000" w:themeColor="text1"/>
          <w:sz w:val="24"/>
          <w:szCs w:val="24"/>
          <w14:textFill>
            <w14:solidFill>
              <w14:schemeClr w14:val="tx1"/>
            </w14:solidFill>
          </w14:textFill>
        </w:rPr>
        <w:t>K</w:t>
      </w:r>
      <w:r>
        <w:rPr>
          <w:rFonts w:ascii="Bookman Old Style" w:hAnsi="Bookman Old Style" w:cs="Arial"/>
          <w:color w:val="000000" w:themeColor="text1"/>
          <w:sz w:val="24"/>
          <w:szCs w:val="24"/>
          <w:lang w:val="en-US"/>
          <w14:textFill>
            <w14:solidFill>
              <w14:schemeClr w14:val="tx1"/>
            </w14:solidFill>
          </w14:textFill>
        </w:rPr>
        <w:t xml:space="preserve">erja </w:t>
      </w:r>
      <w:r>
        <w:rPr>
          <w:rFonts w:ascii="Bookman Old Style" w:hAnsi="Bookman Old Style" w:cs="Arial"/>
          <w:color w:val="000000" w:themeColor="text1"/>
          <w:sz w:val="24"/>
          <w:szCs w:val="24"/>
          <w14:textFill>
            <w14:solidFill>
              <w14:schemeClr w14:val="tx1"/>
            </w14:solidFill>
          </w14:textFill>
        </w:rPr>
        <w:t>P</w:t>
      </w:r>
      <w:r>
        <w:rPr>
          <w:rFonts w:ascii="Bookman Old Style" w:hAnsi="Bookman Old Style" w:cs="Arial"/>
          <w:color w:val="000000" w:themeColor="text1"/>
          <w:sz w:val="24"/>
          <w:szCs w:val="24"/>
          <w:lang w:val="en-US"/>
          <w14:textFill>
            <w14:solidFill>
              <w14:schemeClr w14:val="tx1"/>
            </w14:solidFill>
          </w14:textFill>
        </w:rPr>
        <w:t xml:space="preserve">emerintah </w:t>
      </w:r>
      <w:r>
        <w:rPr>
          <w:rFonts w:ascii="Bookman Old Style" w:hAnsi="Bookman Old Style" w:cs="Arial"/>
          <w:color w:val="000000" w:themeColor="text1"/>
          <w:sz w:val="24"/>
          <w:szCs w:val="24"/>
          <w14:textFill>
            <w14:solidFill>
              <w14:schemeClr w14:val="tx1"/>
            </w14:solidFill>
          </w14:textFill>
        </w:rPr>
        <w:t>D</w:t>
      </w:r>
      <w:r>
        <w:rPr>
          <w:rFonts w:ascii="Bookman Old Style" w:hAnsi="Bookman Old Style" w:cs="Arial"/>
          <w:color w:val="000000" w:themeColor="text1"/>
          <w:sz w:val="24"/>
          <w:szCs w:val="24"/>
          <w:lang w:val="en-US"/>
          <w14:textFill>
            <w14:solidFill>
              <w14:schemeClr w14:val="tx1"/>
            </w14:solidFill>
          </w14:textFill>
        </w:rPr>
        <w:t>aerah</w:t>
      </w:r>
      <w:r>
        <w:rPr>
          <w:rFonts w:ascii="Bookman Old Style" w:hAnsi="Bookman Old Style" w:cs="Arial"/>
          <w:color w:val="000000" w:themeColor="text1"/>
          <w:sz w:val="24"/>
          <w:szCs w:val="24"/>
          <w14:textFill>
            <w14:solidFill>
              <w14:schemeClr w14:val="tx1"/>
            </w14:solidFill>
          </w14:textFill>
        </w:rPr>
        <w:t xml:space="preserve"> merupakan pedoman awal untuk penyusunan Kebijakan Umum Anggaran, dan Prioritas dan Plafon Anggaran Sementara (PPAS), dalam rangka penyusunan Anggaran Pendapatan Belanja Daerah tahun berkenaan. Di tingkat Dinas/Badan, Rancangan Akhir </w:t>
      </w:r>
      <w:r>
        <w:rPr>
          <w:rFonts w:ascii="Bookman Old Style" w:hAnsi="Bookman Old Style" w:cs="Arial"/>
          <w:color w:val="000000" w:themeColor="text1"/>
          <w:sz w:val="24"/>
          <w:szCs w:val="24"/>
          <w:lang/>
          <w14:textFill>
            <w14:solidFill>
              <w14:schemeClr w14:val="tx1"/>
            </w14:solidFill>
          </w14:textFill>
        </w:rPr>
        <w:t>Rencana Kerja Badan Pendapatan Daerah tahun 20</w:t>
      </w:r>
      <w:r>
        <w:rPr>
          <w:rFonts w:ascii="Bookman Old Style" w:hAnsi="Bookman Old Style" w:cs="Arial"/>
          <w:color w:val="000000" w:themeColor="text1"/>
          <w:sz w:val="24"/>
          <w:szCs w:val="24"/>
          <w14:textFill>
            <w14:solidFill>
              <w14:schemeClr w14:val="tx1"/>
            </w14:solidFill>
          </w14:textFill>
        </w:rPr>
        <w:t>20</w:t>
      </w:r>
      <w:r>
        <w:rPr>
          <w:rFonts w:ascii="Bookman Old Style" w:hAnsi="Bookman Old Style" w:cs="Arial"/>
          <w:color w:val="000000" w:themeColor="text1"/>
          <w:sz w:val="24"/>
          <w:szCs w:val="24"/>
          <w:lang/>
          <w14:textFill>
            <w14:solidFill>
              <w14:schemeClr w14:val="tx1"/>
            </w14:solidFill>
          </w14:textFill>
        </w:rPr>
        <w:t xml:space="preserve"> akan menjadi bahan penyusunan Rencana Kerja Anggaran</w:t>
      </w:r>
      <w:r>
        <w:rPr>
          <w:rFonts w:ascii="Bookman Old Style" w:hAnsi="Bookman Old Style" w:cs="Arial"/>
          <w:color w:val="000000" w:themeColor="text1"/>
          <w:sz w:val="24"/>
          <w:szCs w:val="24"/>
          <w14:textFill>
            <w14:solidFill>
              <w14:schemeClr w14:val="tx1"/>
            </w14:solidFill>
          </w14:textFill>
        </w:rPr>
        <w:t xml:space="preserve"> (RKA)</w:t>
      </w:r>
      <w:r>
        <w:rPr>
          <w:rFonts w:ascii="Bookman Old Style" w:hAnsi="Bookman Old Style" w:cs="Arial"/>
          <w:color w:val="000000" w:themeColor="text1"/>
          <w:sz w:val="24"/>
          <w:szCs w:val="24"/>
          <w:lang/>
          <w14:textFill>
            <w14:solidFill>
              <w14:schemeClr w14:val="tx1"/>
            </w14:solidFill>
          </w14:textFill>
        </w:rPr>
        <w:t xml:space="preserve"> dan Dokumen Pelaksanaan Anggaran</w:t>
      </w:r>
      <w:r>
        <w:rPr>
          <w:rFonts w:ascii="Bookman Old Style" w:hAnsi="Bookman Old Style" w:cs="Arial"/>
          <w:color w:val="000000" w:themeColor="text1"/>
          <w:sz w:val="24"/>
          <w:szCs w:val="24"/>
          <w14:textFill>
            <w14:solidFill>
              <w14:schemeClr w14:val="tx1"/>
            </w14:solidFill>
          </w14:textFill>
        </w:rPr>
        <w:t xml:space="preserve"> (DPA)</w:t>
      </w:r>
      <w:r>
        <w:rPr>
          <w:rFonts w:ascii="Bookman Old Style" w:hAnsi="Bookman Old Style" w:cs="Arial"/>
          <w:color w:val="000000" w:themeColor="text1"/>
          <w:sz w:val="24"/>
          <w:szCs w:val="24"/>
          <w:lang/>
          <w14:textFill>
            <w14:solidFill>
              <w14:schemeClr w14:val="tx1"/>
            </w14:solidFill>
          </w14:textFill>
        </w:rPr>
        <w:t xml:space="preserve"> Badan Pendapatan Daerah tahun 20</w:t>
      </w:r>
      <w:r>
        <w:rPr>
          <w:rFonts w:ascii="Bookman Old Style" w:hAnsi="Bookman Old Style" w:cs="Arial"/>
          <w:color w:val="000000" w:themeColor="text1"/>
          <w:sz w:val="24"/>
          <w:szCs w:val="24"/>
          <w14:textFill>
            <w14:solidFill>
              <w14:schemeClr w14:val="tx1"/>
            </w14:solidFill>
          </w14:textFill>
        </w:rPr>
        <w:t>20</w:t>
      </w:r>
      <w:r>
        <w:rPr>
          <w:rFonts w:ascii="Bookman Old Style" w:hAnsi="Bookman Old Style" w:cs="Arial"/>
          <w:color w:val="000000" w:themeColor="text1"/>
          <w:sz w:val="24"/>
          <w:szCs w:val="24"/>
          <w:lang/>
          <w14:textFill>
            <w14:solidFill>
              <w14:schemeClr w14:val="tx1"/>
            </w14:solidFill>
          </w14:textFill>
        </w:rPr>
        <w:t>, serta menjadi pedoman dan acuan dalam melaksanakan program dan kegiatan selama tahun 20</w:t>
      </w:r>
      <w:r>
        <w:rPr>
          <w:rFonts w:ascii="Bookman Old Style" w:hAnsi="Bookman Old Style" w:cs="Arial"/>
          <w:color w:val="000000" w:themeColor="text1"/>
          <w:sz w:val="24"/>
          <w:szCs w:val="24"/>
          <w14:textFill>
            <w14:solidFill>
              <w14:schemeClr w14:val="tx1"/>
            </w14:solidFill>
          </w14:textFill>
        </w:rPr>
        <w:t>20</w:t>
      </w:r>
      <w:r>
        <w:rPr>
          <w:rFonts w:ascii="Bookman Old Style" w:hAnsi="Bookman Old Style" w:cs="Arial"/>
          <w:color w:val="000000" w:themeColor="text1"/>
          <w:sz w:val="24"/>
          <w:szCs w:val="24"/>
          <w:lang/>
          <w14:textFill>
            <w14:solidFill>
              <w14:schemeClr w14:val="tx1"/>
            </w14:solidFill>
          </w14:textFill>
        </w:rPr>
        <w:t xml:space="preserve"> dan selanjutnya akan dievaluasi melalui penilaian terhadap realisasi Dokumen Pelaksanaan Anggaran Badan Pendapatan Daerah untuk mengetahui realisasi pencapaian target indikator kinerja, dan penyerapan anggaran.</w:t>
      </w:r>
    </w:p>
    <w:p>
      <w:pPr>
        <w:pStyle w:val="15"/>
        <w:spacing w:line="317" w:lineRule="auto"/>
        <w:ind w:left="562" w:firstLine="720"/>
        <w:jc w:val="both"/>
        <w:rPr>
          <w:rFonts w:ascii="Bookman Old Style" w:hAnsi="Bookman Old Style" w:cs="Arial"/>
          <w:color w:val="000000" w:themeColor="text1"/>
          <w:sz w:val="24"/>
          <w:szCs w:val="24"/>
          <w:lang w:val="zh-CN"/>
          <w14:textFill>
            <w14:solidFill>
              <w14:schemeClr w14:val="tx1"/>
            </w14:solidFill>
          </w14:textFill>
        </w:rPr>
      </w:pPr>
    </w:p>
    <w:p>
      <w:pPr>
        <w:pStyle w:val="15"/>
        <w:numPr>
          <w:ilvl w:val="1"/>
          <w:numId w:val="1"/>
        </w:numPr>
        <w:spacing w:line="317" w:lineRule="auto"/>
        <w:ind w:left="567" w:hanging="567"/>
        <w:contextualSpacing/>
        <w:rPr>
          <w:rFonts w:ascii="Bookman Old Style" w:hAnsi="Bookman Old Style" w:cs="Arial"/>
          <w:b/>
          <w:sz w:val="24"/>
          <w:szCs w:val="24"/>
          <w:lang w:val="en-GB"/>
        </w:rPr>
      </w:pPr>
      <w:r>
        <w:rPr>
          <w:rFonts w:ascii="Bookman Old Style" w:hAnsi="Bookman Old Style" w:cs="Arial"/>
          <w:b/>
          <w:sz w:val="24"/>
          <w:szCs w:val="24"/>
          <w:lang w:val="en-GB"/>
        </w:rPr>
        <w:t>Landasan Hukum</w:t>
      </w:r>
    </w:p>
    <w:p>
      <w:pPr>
        <w:pStyle w:val="15"/>
        <w:spacing w:line="317" w:lineRule="auto"/>
        <w:ind w:left="567" w:firstLine="567"/>
        <w:contextualSpacing/>
        <w:jc w:val="both"/>
        <w:rPr>
          <w:rFonts w:ascii="Bookman Old Style" w:hAnsi="Bookman Old Style" w:cs="Arial"/>
          <w:sz w:val="24"/>
          <w:szCs w:val="24"/>
          <w:lang w:val="en-GB"/>
        </w:rPr>
      </w:pPr>
      <w:r>
        <w:rPr>
          <w:rFonts w:ascii="Bookman Old Style" w:hAnsi="Bookman Old Style" w:eastAsia="MS Mincho" w:cs="Arial"/>
          <w:sz w:val="24"/>
          <w:szCs w:val="24"/>
          <w:lang w:eastAsia="ja-JP"/>
        </w:rPr>
        <w:t xml:space="preserve">Landasan hukum yang digunakan dalam penyusunan Rancangan Awal </w:t>
      </w:r>
      <w:r>
        <w:rPr>
          <w:rFonts w:ascii="Bookman Old Style" w:hAnsi="Bookman Old Style" w:cs="Arial"/>
          <w:sz w:val="24"/>
          <w:szCs w:val="24"/>
        </w:rPr>
        <w:t>Rencana Kerja B</w:t>
      </w:r>
      <w:r>
        <w:rPr>
          <w:rFonts w:ascii="Bookman Old Style" w:hAnsi="Bookman Old Style" w:cs="Arial"/>
          <w:sz w:val="24"/>
          <w:szCs w:val="24"/>
          <w:lang w:val="en-GB"/>
        </w:rPr>
        <w:t xml:space="preserve">adan Pendapatan Daerah </w:t>
      </w:r>
      <w:r>
        <w:rPr>
          <w:rFonts w:ascii="Bookman Old Style" w:hAnsi="Bookman Old Style" w:cs="Arial"/>
          <w:sz w:val="24"/>
          <w:szCs w:val="24"/>
        </w:rPr>
        <w:t xml:space="preserve">Kabupaten Malang </w:t>
      </w:r>
      <w:r>
        <w:rPr>
          <w:rFonts w:ascii="Bookman Old Style" w:hAnsi="Bookman Old Style" w:cs="Arial"/>
          <w:sz w:val="24"/>
          <w:szCs w:val="24"/>
          <w:lang w:val="en-US"/>
        </w:rPr>
        <w:t xml:space="preserve">   </w:t>
      </w:r>
      <w:r>
        <w:rPr>
          <w:rFonts w:ascii="Bookman Old Style" w:hAnsi="Bookman Old Style" w:cs="Arial"/>
          <w:sz w:val="24"/>
          <w:szCs w:val="24"/>
        </w:rPr>
        <w:t>Tahun 2020 adalah sebagai berikut</w:t>
      </w:r>
      <w:r>
        <w:rPr>
          <w:rFonts w:ascii="Bookman Old Style" w:hAnsi="Bookman Old Style" w:cs="Arial"/>
          <w:sz w:val="24"/>
          <w:szCs w:val="24"/>
          <w:lang w:val="en-GB"/>
        </w:rPr>
        <w:t>:</w:t>
      </w:r>
    </w:p>
    <w:p>
      <w:pPr>
        <w:pStyle w:val="18"/>
        <w:numPr>
          <w:ilvl w:val="0"/>
          <w:numId w:val="2"/>
        </w:numPr>
        <w:shd w:val="clear" w:color="auto" w:fill="FFFFFF"/>
        <w:autoSpaceDE w:val="0"/>
        <w:autoSpaceDN w:val="0"/>
        <w:adjustRightInd w:val="0"/>
        <w:spacing w:before="0" w:line="317" w:lineRule="auto"/>
        <w:ind w:left="994" w:hanging="432"/>
        <w:rPr>
          <w:rFonts w:ascii="Bookman Old Style" w:hAnsi="Bookman Old Style" w:cs="Arial"/>
          <w:lang w:val="en-GB"/>
        </w:rPr>
      </w:pPr>
      <w:r>
        <w:rPr>
          <w:rFonts w:ascii="Bookman Old Style" w:hAnsi="Bookman Old Style" w:cs="Arial"/>
          <w:lang w:val="fi-FI"/>
        </w:rPr>
        <w:t xml:space="preserve">Undang-Undang Nomor 12 Tahun 1950 tentang Pembentukan Daerah-daerah Kabupaten di Lingkungan Propinsi Jawa Timur (Berita Negara </w:t>
      </w:r>
      <w:r>
        <w:rPr>
          <w:rFonts w:ascii="Bookman Old Style" w:hAnsi="Bookman Old Style" w:cs="Arial"/>
          <w:lang w:val="sv-SE"/>
        </w:rPr>
        <w:t>Republik</w:t>
      </w:r>
      <w:r>
        <w:rPr>
          <w:rFonts w:ascii="Bookman Old Style" w:hAnsi="Bookman Old Style" w:cs="Arial"/>
          <w:lang w:val="fi-FI"/>
        </w:rPr>
        <w:t xml:space="preserve"> Indonesia Tahun 1950 Nomor 41), sebagaimana telah diubah dengan Undang-Undang Nomor 2 Tahun 1965 tentang Perubahan Batas Wilayah Kotapraja Surabaya dan Daerah Tingkat II Surabaya dengan mengubah Undang-Undang Nomor 12 Tahun 1950 tentang Pembentukan Daerah-daerah Kota Besar dalam Lingkungan Propinsi Jawa Timur, Jawa Tengah, Jawa Barat dan Daerah Istimewa Yogyakarta (Lembaran Negara Republik Indonesia Tahun 1965             Nomor 19, Tambahan Lembaran Negara Republik Indonesia        Nomor 2730);</w:t>
      </w:r>
    </w:p>
    <w:p>
      <w:pPr>
        <w:pStyle w:val="18"/>
        <w:numPr>
          <w:ilvl w:val="0"/>
          <w:numId w:val="2"/>
        </w:numPr>
        <w:shd w:val="clear" w:color="auto" w:fill="FFFFFF"/>
        <w:autoSpaceDE w:val="0"/>
        <w:autoSpaceDN w:val="0"/>
        <w:adjustRightInd w:val="0"/>
        <w:spacing w:before="0" w:line="317" w:lineRule="auto"/>
        <w:ind w:left="994" w:hanging="432"/>
        <w:rPr>
          <w:rFonts w:ascii="Bookman Old Style" w:hAnsi="Bookman Old Style"/>
        </w:rPr>
      </w:pPr>
      <w:r>
        <w:rPr>
          <w:rFonts w:ascii="Bookman Old Style" w:hAnsi="Bookman Old Style" w:cs="Arial"/>
          <w:lang w:val="sv-SE"/>
        </w:rPr>
        <w:t>Undang-</w:t>
      </w:r>
      <w:r>
        <w:rPr>
          <w:rFonts w:ascii="Bookman Old Style" w:hAnsi="Bookman Old Style" w:cs="Arial"/>
          <w:lang w:val="fi-FI"/>
        </w:rPr>
        <w:t>Undang</w:t>
      </w:r>
      <w:r>
        <w:rPr>
          <w:rFonts w:ascii="Bookman Old Style" w:hAnsi="Bookman Old Style" w:cs="Arial"/>
          <w:lang w:val="sv-SE"/>
        </w:rPr>
        <w:t xml:space="preserve"> Nomor 17 Tahun 2003 tentang Keuangan Negara (Lembaran Negara Republik Indonesia Tahun 2003 Nomor 47, Tambahan Lembaran Negara Republik Indonesia Nomor 4286)</w:t>
      </w:r>
      <w:r>
        <w:rPr>
          <w:rFonts w:ascii="Bookman Old Style" w:hAnsi="Bookman Old Style"/>
        </w:rPr>
        <w:t>;</w:t>
      </w:r>
    </w:p>
    <w:p>
      <w:pPr>
        <w:pStyle w:val="18"/>
        <w:numPr>
          <w:ilvl w:val="0"/>
          <w:numId w:val="2"/>
        </w:numPr>
        <w:shd w:val="clear" w:color="auto" w:fill="FFFFFF"/>
        <w:autoSpaceDE w:val="0"/>
        <w:autoSpaceDN w:val="0"/>
        <w:adjustRightInd w:val="0"/>
        <w:spacing w:before="0" w:line="317" w:lineRule="auto"/>
        <w:ind w:left="994" w:hanging="432"/>
        <w:rPr>
          <w:rFonts w:ascii="Bookman Old Style" w:hAnsi="Bookman Old Style" w:cs="Arial"/>
        </w:rPr>
      </w:pPr>
      <w:r>
        <w:rPr>
          <w:rFonts w:ascii="Bookman Old Style" w:hAnsi="Bookman Old Style" w:cs="Arial"/>
          <w:lang w:val="sv-SE"/>
        </w:rPr>
        <w:t>Undang-Undang Nomor 1 Tahun 2004 tentang Perbendaharaan Negara (Lembaran Negara Republik Indonesia Tahun 2004 Nomor 5, Tambahan Lembaran Negara Republik Indonesia Nomor 4355);</w:t>
      </w:r>
    </w:p>
    <w:p>
      <w:pPr>
        <w:pStyle w:val="18"/>
        <w:numPr>
          <w:ilvl w:val="0"/>
          <w:numId w:val="2"/>
        </w:numPr>
        <w:shd w:val="clear" w:color="auto" w:fill="FFFFFF"/>
        <w:autoSpaceDE w:val="0"/>
        <w:autoSpaceDN w:val="0"/>
        <w:adjustRightInd w:val="0"/>
        <w:spacing w:before="0" w:line="334" w:lineRule="auto"/>
        <w:ind w:left="994" w:hanging="432"/>
        <w:rPr>
          <w:rFonts w:ascii="Bookman Old Style" w:hAnsi="Bookman Old Style" w:cs="Arial"/>
        </w:rPr>
      </w:pPr>
      <w:r>
        <w:rPr>
          <w:rFonts w:ascii="Bookman Old Style" w:hAnsi="Bookman Old Style" w:cs="Arial"/>
        </w:rPr>
        <w:t>Undang-Undang Nomor 15 Tahun 2004 tentang Pemeriksaan Pengelolaan dan Tanggung Jawab Keuangan Negara (Lembaran Negara Republik Indonesia Tahun 2004 Nomor 66, Tambahan Lembaran Negara Republik Indonesia Nomor 4400);</w:t>
      </w:r>
    </w:p>
    <w:p>
      <w:pPr>
        <w:pStyle w:val="18"/>
        <w:numPr>
          <w:ilvl w:val="0"/>
          <w:numId w:val="2"/>
        </w:numPr>
        <w:shd w:val="clear" w:color="auto" w:fill="FFFFFF"/>
        <w:autoSpaceDE w:val="0"/>
        <w:autoSpaceDN w:val="0"/>
        <w:adjustRightInd w:val="0"/>
        <w:spacing w:before="0" w:line="334" w:lineRule="auto"/>
        <w:ind w:left="994" w:hanging="432"/>
        <w:rPr>
          <w:rFonts w:ascii="Bookman Old Style" w:hAnsi="Bookman Old Style"/>
        </w:rPr>
      </w:pPr>
      <w:r>
        <w:rPr>
          <w:rFonts w:ascii="Bookman Old Style" w:hAnsi="Bookman Old Style"/>
        </w:rPr>
        <w:t xml:space="preserve">Undang-Undang Nomor 25 Tahun 2004 tentang Sistem </w:t>
      </w:r>
      <w:r>
        <w:rPr>
          <w:rFonts w:ascii="Bookman Old Style" w:hAnsi="Bookman Old Style" w:cs="Arial"/>
        </w:rPr>
        <w:t>Perencanaan</w:t>
      </w:r>
      <w:r>
        <w:rPr>
          <w:rFonts w:ascii="Bookman Old Style" w:hAnsi="Bookman Old Style"/>
        </w:rPr>
        <w:t xml:space="preserve"> Pembangunan Nasional (Lembaran Negara Republik Indonesia Tahun 2004 Nomor 104, Tambahan Lembaran Negara Republik Indonesia Nomor 4421);</w:t>
      </w:r>
    </w:p>
    <w:p>
      <w:pPr>
        <w:pStyle w:val="18"/>
        <w:numPr>
          <w:ilvl w:val="0"/>
          <w:numId w:val="2"/>
        </w:numPr>
        <w:shd w:val="clear" w:color="auto" w:fill="FFFFFF"/>
        <w:autoSpaceDE w:val="0"/>
        <w:autoSpaceDN w:val="0"/>
        <w:adjustRightInd w:val="0"/>
        <w:spacing w:before="0" w:line="334" w:lineRule="auto"/>
        <w:ind w:left="994" w:hanging="432"/>
        <w:rPr>
          <w:rFonts w:ascii="Bookman Old Style" w:hAnsi="Bookman Old Style"/>
        </w:rPr>
      </w:pPr>
      <w:r>
        <w:rPr>
          <w:rFonts w:ascii="Bookman Old Style" w:hAnsi="Bookman Old Style" w:cs="Arial"/>
          <w:bCs/>
          <w:lang w:val="en-GB"/>
        </w:rPr>
        <w:t xml:space="preserve">Undang-Undang Nomor 12 Tahun 2011 tentang Pembentukan </w:t>
      </w:r>
      <w:r>
        <w:rPr>
          <w:rFonts w:ascii="Bookman Old Style" w:hAnsi="Bookman Old Style" w:cs="Arial"/>
        </w:rPr>
        <w:t>Peraturan</w:t>
      </w:r>
      <w:r>
        <w:rPr>
          <w:rFonts w:ascii="Bookman Old Style" w:hAnsi="Bookman Old Style" w:cs="Arial"/>
          <w:bCs/>
          <w:lang w:val="en-GB"/>
        </w:rPr>
        <w:t xml:space="preserve"> Perundang-undangan (Lembaran Negara Republik Indonesia Tahun 2011 Nomor 82, Tambahan Lembaran Negara Republik Indonesia Nomor 5234);</w:t>
      </w:r>
    </w:p>
    <w:p>
      <w:pPr>
        <w:pStyle w:val="18"/>
        <w:numPr>
          <w:ilvl w:val="0"/>
          <w:numId w:val="2"/>
        </w:numPr>
        <w:shd w:val="clear" w:color="auto" w:fill="FFFFFF"/>
        <w:autoSpaceDE w:val="0"/>
        <w:autoSpaceDN w:val="0"/>
        <w:adjustRightInd w:val="0"/>
        <w:spacing w:before="0" w:line="334" w:lineRule="auto"/>
        <w:ind w:left="994" w:hanging="432"/>
        <w:rPr>
          <w:rFonts w:ascii="Bookman Old Style" w:hAnsi="Bookman Old Style"/>
        </w:rPr>
      </w:pPr>
      <w:r>
        <w:rPr>
          <w:rFonts w:ascii="Bookman Old Style" w:hAnsi="Bookman Old Style" w:cs="Arial"/>
          <w:lang w:val="fi-FI"/>
        </w:rPr>
        <w:t>Undang-Undang Nomor 23 Tahun 2014 tentang Pemerintahan Daerah (</w:t>
      </w:r>
      <w:r>
        <w:rPr>
          <w:rFonts w:ascii="Bookman Old Style" w:hAnsi="Bookman Old Style" w:cs="Arial"/>
        </w:rPr>
        <w:t>Lembaran</w:t>
      </w:r>
      <w:r>
        <w:rPr>
          <w:rFonts w:ascii="Bookman Old Style" w:hAnsi="Bookman Old Style" w:cs="Arial"/>
          <w:lang w:val="fi-FI"/>
        </w:rPr>
        <w:t xml:space="preserve"> Negara Republik Indonesia Tahun 2014 Nomor 244, Tambahan Lembaran Negara Republik Indonesia Nomor 5587), sebagaimana telah diubah beberapa kali, terakhir dengan Undang-Undang Nomor 9 Tahun 2015 tentang Perubahan Kedua atas Undang-Undang Nomor 23 Tahun 2014 tentang Pemerintahan Daerah (Lembaran Negara Republik Indonesia Tahun 2015 Nomor 58, Tambahan Lembaran Negara Republik Indonesia Nomor 5679);</w:t>
      </w:r>
    </w:p>
    <w:p>
      <w:pPr>
        <w:pStyle w:val="18"/>
        <w:numPr>
          <w:ilvl w:val="0"/>
          <w:numId w:val="2"/>
        </w:numPr>
        <w:shd w:val="clear" w:color="auto" w:fill="FFFFFF"/>
        <w:autoSpaceDE w:val="0"/>
        <w:autoSpaceDN w:val="0"/>
        <w:adjustRightInd w:val="0"/>
        <w:spacing w:before="0" w:line="334" w:lineRule="auto"/>
        <w:ind w:left="994" w:hanging="432"/>
        <w:rPr>
          <w:rFonts w:ascii="Bookman Old Style" w:hAnsi="Bookman Old Style"/>
        </w:rPr>
      </w:pPr>
      <w:r>
        <w:rPr>
          <w:rFonts w:ascii="Bookman Old Style" w:hAnsi="Bookman Old Style"/>
        </w:rPr>
        <w:t xml:space="preserve">Peraturan Pemerintah Nomor 39 Tahun 2006 tentang Tata Cara </w:t>
      </w:r>
      <w:r>
        <w:rPr>
          <w:rFonts w:ascii="Bookman Old Style" w:hAnsi="Bookman Old Style" w:cs="Arial"/>
          <w:lang w:val="fi-FI"/>
        </w:rPr>
        <w:t>Pengendalian</w:t>
      </w:r>
      <w:r>
        <w:rPr>
          <w:rFonts w:ascii="Bookman Old Style" w:hAnsi="Bookman Old Style"/>
        </w:rPr>
        <w:t xml:space="preserve"> dan Evaluasi Pelaksanaan Rencana Pembangunan (Lembaran Negara Republik Indonesia Tahun 2006 Nomor 96, Tambahan Lembaran Negara Republik Indonesia Nomor 4663);</w:t>
      </w:r>
    </w:p>
    <w:p>
      <w:pPr>
        <w:pStyle w:val="18"/>
        <w:numPr>
          <w:ilvl w:val="0"/>
          <w:numId w:val="2"/>
        </w:numPr>
        <w:shd w:val="clear" w:color="auto" w:fill="FFFFFF"/>
        <w:autoSpaceDE w:val="0"/>
        <w:autoSpaceDN w:val="0"/>
        <w:adjustRightInd w:val="0"/>
        <w:spacing w:before="0" w:line="334" w:lineRule="auto"/>
        <w:ind w:left="994" w:hanging="432"/>
        <w:rPr>
          <w:rFonts w:ascii="Bookman Old Style" w:hAnsi="Bookman Old Style" w:cs="Arial"/>
        </w:rPr>
      </w:pPr>
      <w:r>
        <w:rPr>
          <w:rFonts w:ascii="Bookman Old Style" w:hAnsi="Bookman Old Style"/>
        </w:rPr>
        <w:t>Peraturan Pemerintah Nomor 8 Tahun 2008 tentang Tahapan, Tata Cara Penyusunan, Pengendalian dan Evaluasi Pelaksanaan Rencana Pembangunan Daerah (Lembaran Negara Republik Indonesia Tahun 2008 Nomor 21, Tambahan Lembaran Negara Republik Indonesia              Nomor 4817);</w:t>
      </w:r>
    </w:p>
    <w:p>
      <w:pPr>
        <w:pStyle w:val="18"/>
        <w:numPr>
          <w:ilvl w:val="0"/>
          <w:numId w:val="2"/>
        </w:numPr>
        <w:shd w:val="clear" w:color="auto" w:fill="FFFFFF"/>
        <w:autoSpaceDE w:val="0"/>
        <w:autoSpaceDN w:val="0"/>
        <w:adjustRightInd w:val="0"/>
        <w:spacing w:before="0" w:line="334" w:lineRule="auto"/>
        <w:ind w:left="994" w:hanging="432"/>
        <w:rPr>
          <w:rFonts w:ascii="Bookman Old Style" w:hAnsi="Bookman Old Style"/>
        </w:rPr>
      </w:pPr>
      <w:r>
        <w:rPr>
          <w:rFonts w:ascii="Bookman Old Style" w:hAnsi="Bookman Old Style"/>
        </w:rPr>
        <w:t>Peraturan Pemerintah Nomor 12 Tahun 2017 tentang Pembinaan dan Pengawasan Penyelenggaraan Pemerintahan Daerah (Lembaran Negara Republik Indonesia Tahun 2017 Nomor 73, Tambahan Lembaran Negara Republik Indonesia Nomor 6041);</w:t>
      </w:r>
    </w:p>
    <w:p>
      <w:pPr>
        <w:pStyle w:val="18"/>
        <w:numPr>
          <w:ilvl w:val="0"/>
          <w:numId w:val="2"/>
        </w:numPr>
        <w:shd w:val="clear" w:color="auto" w:fill="FFFFFF"/>
        <w:autoSpaceDE w:val="0"/>
        <w:autoSpaceDN w:val="0"/>
        <w:adjustRightInd w:val="0"/>
        <w:spacing w:before="0" w:line="334" w:lineRule="auto"/>
        <w:ind w:left="994" w:hanging="432"/>
        <w:rPr>
          <w:rFonts w:ascii="Bookman Old Style" w:hAnsi="Bookman Old Style"/>
        </w:rPr>
      </w:pPr>
      <w:r>
        <w:rPr>
          <w:rFonts w:ascii="Bookman Old Style" w:hAnsi="Bookman Old Style" w:cs="Arial"/>
          <w:lang w:val="id-ID"/>
        </w:rPr>
        <w:t xml:space="preserve">Peraturan </w:t>
      </w:r>
      <w:r>
        <w:rPr>
          <w:rFonts w:ascii="Bookman Old Style" w:hAnsi="Bookman Old Style"/>
        </w:rPr>
        <w:t>Pemerintah</w:t>
      </w:r>
      <w:r>
        <w:rPr>
          <w:rFonts w:ascii="Bookman Old Style" w:hAnsi="Bookman Old Style" w:cs="Arial"/>
          <w:lang w:val="id-ID"/>
        </w:rPr>
        <w:t xml:space="preserve"> Nomor </w:t>
      </w:r>
      <w:r>
        <w:rPr>
          <w:rFonts w:ascii="Bookman Old Style" w:hAnsi="Bookman Old Style" w:cs="Arial"/>
        </w:rPr>
        <w:t>12 Tahun 2019</w:t>
      </w:r>
      <w:r>
        <w:rPr>
          <w:rFonts w:ascii="Bookman Old Style" w:hAnsi="Bookman Old Style" w:cs="Arial"/>
          <w:lang w:val="id-ID"/>
        </w:rPr>
        <w:t xml:space="preserve"> tentang Pengelolaan Keuangan Daerah</w:t>
      </w:r>
      <w:r>
        <w:rPr>
          <w:rFonts w:ascii="Bookman Old Style" w:hAnsi="Bookman Old Style" w:cs="Arial"/>
        </w:rPr>
        <w:t xml:space="preserve"> </w:t>
      </w:r>
      <w:r>
        <w:rPr>
          <w:rFonts w:ascii="Bookman Old Style" w:hAnsi="Bookman Old Style"/>
        </w:rPr>
        <w:t>(Lembaran Negara Republik Indonesia Tahun 2019 Nomor 42, Tambahan Lembaran Negara Republik Indonesia       Nomor 6322);</w:t>
      </w:r>
    </w:p>
    <w:p>
      <w:pPr>
        <w:pStyle w:val="18"/>
        <w:numPr>
          <w:ilvl w:val="0"/>
          <w:numId w:val="2"/>
        </w:numPr>
        <w:shd w:val="clear" w:color="auto" w:fill="FFFFFF"/>
        <w:autoSpaceDE w:val="0"/>
        <w:autoSpaceDN w:val="0"/>
        <w:adjustRightInd w:val="0"/>
        <w:spacing w:before="0" w:line="334" w:lineRule="auto"/>
        <w:ind w:left="994" w:hanging="432"/>
        <w:rPr>
          <w:rFonts w:ascii="Bookman Old Style" w:hAnsi="Bookman Old Style"/>
        </w:rPr>
      </w:pPr>
      <w:r>
        <w:rPr>
          <w:rFonts w:ascii="Bookman Old Style" w:hAnsi="Bookman Old Style" w:cs="Arial"/>
          <w:lang w:val="id-ID"/>
        </w:rPr>
        <w:t xml:space="preserve">Peraturan Pemerintah Nomor </w:t>
      </w:r>
      <w:r>
        <w:rPr>
          <w:rFonts w:ascii="Bookman Old Style" w:hAnsi="Bookman Old Style" w:cs="Arial"/>
        </w:rPr>
        <w:t>13 Tahun 2019</w:t>
      </w:r>
      <w:r>
        <w:rPr>
          <w:rFonts w:ascii="Bookman Old Style" w:hAnsi="Bookman Old Style" w:cs="Arial"/>
          <w:lang w:val="id-ID"/>
        </w:rPr>
        <w:t xml:space="preserve"> tentang </w:t>
      </w:r>
      <w:r>
        <w:rPr>
          <w:rFonts w:ascii="Bookman Old Style" w:hAnsi="Bookman Old Style" w:cs="Arial"/>
        </w:rPr>
        <w:t xml:space="preserve">Laporan dan Evaluasi Penyelenggaraan Pemerintahan Daerah </w:t>
      </w:r>
      <w:r>
        <w:rPr>
          <w:rFonts w:ascii="Bookman Old Style" w:hAnsi="Bookman Old Style"/>
        </w:rPr>
        <w:t>(Lembaran Negara Republik Indonesia Tahun 2019 Nomor 52, Tambahan Lembaran Negara Republik Indonesia Nomor 6323);</w:t>
      </w:r>
    </w:p>
    <w:p>
      <w:pPr>
        <w:pStyle w:val="18"/>
        <w:numPr>
          <w:ilvl w:val="0"/>
          <w:numId w:val="2"/>
        </w:numPr>
        <w:shd w:val="clear" w:color="auto" w:fill="FFFFFF"/>
        <w:autoSpaceDE w:val="0"/>
        <w:autoSpaceDN w:val="0"/>
        <w:adjustRightInd w:val="0"/>
        <w:spacing w:before="0" w:line="353" w:lineRule="auto"/>
        <w:ind w:left="994" w:hanging="432"/>
        <w:rPr>
          <w:rFonts w:ascii="Bookman Old Style" w:hAnsi="Bookman Old Style"/>
        </w:rPr>
      </w:pPr>
      <w:r>
        <w:rPr>
          <w:rFonts w:ascii="Bookman Old Style" w:hAnsi="Bookman Old Style"/>
        </w:rPr>
        <w:t xml:space="preserve">Peraturan Presiden Nomor 87 Tahun 2014 tentang Peraturan Pelaksanaan </w:t>
      </w:r>
      <w:r>
        <w:rPr>
          <w:rFonts w:ascii="Bookman Old Style" w:hAnsi="Bookman Old Style" w:cs="Arial"/>
        </w:rPr>
        <w:t>Undang</w:t>
      </w:r>
      <w:r>
        <w:rPr>
          <w:rFonts w:ascii="Bookman Old Style" w:hAnsi="Bookman Old Style"/>
        </w:rPr>
        <w:t>-Undang Nomor 12 Tahun 2011 tentang Pembentukan Peraturan Perundang-undangan (Lembaran Negara Republik Indonesia Tahun 2014 Nomor 199);</w:t>
      </w:r>
    </w:p>
    <w:p>
      <w:pPr>
        <w:pStyle w:val="18"/>
        <w:numPr>
          <w:ilvl w:val="0"/>
          <w:numId w:val="2"/>
        </w:numPr>
        <w:shd w:val="clear" w:color="auto" w:fill="FFFFFF"/>
        <w:autoSpaceDE w:val="0"/>
        <w:autoSpaceDN w:val="0"/>
        <w:adjustRightInd w:val="0"/>
        <w:spacing w:before="0" w:line="353" w:lineRule="auto"/>
        <w:ind w:left="994" w:hanging="432"/>
        <w:rPr>
          <w:rFonts w:ascii="Bookman Old Style" w:hAnsi="Bookman Old Style"/>
        </w:rPr>
      </w:pPr>
      <w:r>
        <w:rPr>
          <w:rFonts w:ascii="Bookman Old Style" w:hAnsi="Bookman Old Style"/>
        </w:rPr>
        <w:t>Peraturan</w:t>
      </w:r>
      <w:r>
        <w:rPr>
          <w:rFonts w:ascii="Bookman Old Style" w:hAnsi="Bookman Old Style" w:cs="Arial"/>
          <w:lang w:val="pt-BR"/>
        </w:rPr>
        <w:t xml:space="preserve"> Menteri Dalam Negeri Nomor 13 Tahun 2006 tentang Pedoman </w:t>
      </w:r>
      <w:r>
        <w:rPr>
          <w:rFonts w:ascii="Bookman Old Style" w:hAnsi="Bookman Old Style"/>
        </w:rPr>
        <w:t>Pengelolaan</w:t>
      </w:r>
      <w:r>
        <w:rPr>
          <w:rFonts w:ascii="Bookman Old Style" w:hAnsi="Bookman Old Style" w:cs="Arial"/>
          <w:lang w:val="pt-BR"/>
        </w:rPr>
        <w:t xml:space="preserve"> Keuangan Daerah, sebagaimana telah diubah beberapa kali, terakhir dengan Peraturan Menteri Dalam Negeri Nomor 21 Tahun 2011 tentang Perubahan Kedua atas Peraturan Menteri Dalam Negeri Nomor 13 Tahun 2006 tentang Pedoman Pengelolaan Keuangan Daerah (Berita Negara Republik Indonesia Tahun 2011 Nomor 310);</w:t>
      </w:r>
    </w:p>
    <w:p>
      <w:pPr>
        <w:pStyle w:val="18"/>
        <w:numPr>
          <w:ilvl w:val="0"/>
          <w:numId w:val="2"/>
        </w:numPr>
        <w:shd w:val="clear" w:color="auto" w:fill="FFFFFF"/>
        <w:autoSpaceDE w:val="0"/>
        <w:autoSpaceDN w:val="0"/>
        <w:adjustRightInd w:val="0"/>
        <w:spacing w:before="0" w:line="353" w:lineRule="auto"/>
        <w:ind w:left="994" w:hanging="432"/>
        <w:rPr>
          <w:rFonts w:ascii="Bookman Old Style" w:hAnsi="Bookman Old Style"/>
        </w:rPr>
      </w:pPr>
      <w:r>
        <w:rPr>
          <w:rFonts w:ascii="Bookman Old Style" w:hAnsi="Bookman Old Style"/>
        </w:rPr>
        <w:t xml:space="preserve">Peraturan Menteri Dalam Negeri No 15 Tahun 2008 tentang Pedoman Pelaksanaan Pengarusutamaan Gender di Daerah sebagaimana telah diubah dengan Peraturan Menteri Dalam Negeri No 67 Tahun 2011 tentang Perubahan Atas Peraturan Menteri Dalam Negeri No 15 Tahun 2008 tentang Pedoman Umum Pelaksanaan Pengarusutamaan Gender di Daerah; </w:t>
      </w:r>
    </w:p>
    <w:p>
      <w:pPr>
        <w:pStyle w:val="18"/>
        <w:numPr>
          <w:ilvl w:val="0"/>
          <w:numId w:val="2"/>
        </w:numPr>
        <w:shd w:val="clear" w:color="auto" w:fill="FFFFFF"/>
        <w:autoSpaceDE w:val="0"/>
        <w:autoSpaceDN w:val="0"/>
        <w:adjustRightInd w:val="0"/>
        <w:spacing w:before="0" w:line="353" w:lineRule="auto"/>
        <w:ind w:left="994" w:hanging="432"/>
        <w:rPr>
          <w:rFonts w:ascii="Bookman Old Style" w:hAnsi="Bookman Old Style" w:cs="Arial"/>
        </w:rPr>
      </w:pPr>
      <w:r>
        <w:rPr>
          <w:rFonts w:ascii="Bookman Old Style" w:hAnsi="Bookman Old Style"/>
        </w:rPr>
        <w:t xml:space="preserve">Peraturan Menteri Dalam Negeri Nomor 80 Tahun 2015 tentang Pembentukan Produk Hukum Daerah (Berita Negara Republik Indonesia </w:t>
      </w:r>
      <w:r>
        <w:rPr>
          <w:rFonts w:ascii="Bookman Old Style" w:hAnsi="Bookman Old Style" w:cs="Arial"/>
          <w:lang w:val="pt-BR"/>
        </w:rPr>
        <w:t>Tahun</w:t>
      </w:r>
      <w:r>
        <w:rPr>
          <w:rFonts w:ascii="Bookman Old Style" w:hAnsi="Bookman Old Style"/>
        </w:rPr>
        <w:t xml:space="preserve"> 2015 Nomor 2036), sebagaimana telah diubah dengan Peraturan Menteri Dalam Negeri Nomor 120 Tahun 2018 tentang Perubahan atas Peraturan Menteri Dalam Negeri Nomor 80 Tahun 2015 tentang Pembentukan Produk Hukum Daerah (Berita Negara Republik Indonesia Tahun 2018 Nomor 157);</w:t>
      </w:r>
    </w:p>
    <w:p>
      <w:pPr>
        <w:pStyle w:val="18"/>
        <w:numPr>
          <w:ilvl w:val="0"/>
          <w:numId w:val="2"/>
        </w:numPr>
        <w:shd w:val="clear" w:color="auto" w:fill="FFFFFF"/>
        <w:autoSpaceDE w:val="0"/>
        <w:autoSpaceDN w:val="0"/>
        <w:adjustRightInd w:val="0"/>
        <w:spacing w:before="0" w:line="353" w:lineRule="auto"/>
        <w:ind w:left="994" w:hanging="432"/>
        <w:rPr>
          <w:rFonts w:ascii="Bookman Old Style" w:hAnsi="Bookman Old Style"/>
        </w:rPr>
      </w:pPr>
      <w:r>
        <w:rPr>
          <w:rFonts w:ascii="Bookman Old Style" w:hAnsi="Bookman Old Style"/>
        </w:rPr>
        <w:t>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w:t>
      </w:r>
      <w:r>
        <w:rPr>
          <w:rFonts w:ascii="Bookman Old Style" w:hAnsi="Bookman Old Style"/>
          <w:lang w:val="id-ID"/>
        </w:rPr>
        <w:t xml:space="preserve"> </w:t>
      </w:r>
      <w:r>
        <w:rPr>
          <w:rFonts w:ascii="Bookman Old Style" w:hAnsi="Bookman Old Style"/>
        </w:rPr>
        <w:t>Pemerintah Daerah (Berita Negara Republik Indonesia Tahun 2017 Nomor 1312);</w:t>
      </w:r>
    </w:p>
    <w:p>
      <w:pPr>
        <w:pStyle w:val="18"/>
        <w:numPr>
          <w:ilvl w:val="0"/>
          <w:numId w:val="2"/>
        </w:numPr>
        <w:shd w:val="clear" w:color="auto" w:fill="FFFFFF"/>
        <w:autoSpaceDE w:val="0"/>
        <w:autoSpaceDN w:val="0"/>
        <w:adjustRightInd w:val="0"/>
        <w:spacing w:before="0" w:line="353" w:lineRule="auto"/>
        <w:ind w:left="994" w:hanging="432"/>
        <w:rPr>
          <w:rFonts w:ascii="Bookman Old Style" w:hAnsi="Bookman Old Style"/>
        </w:rPr>
      </w:pPr>
      <w:r>
        <w:rPr>
          <w:rFonts w:ascii="Bookman Old Style" w:hAnsi="Bookman Old Style"/>
        </w:rPr>
        <w:t>Peraturan Menteri Dalam Negeri Nomor 31 Tahun 2019 tentang Pedoman Penyusunan Rencana Kerja Pemerintah Daerah Tahun 2020 (Berita Negara Republik Indonesia Tahun 2019 Nomor 611);</w:t>
      </w:r>
    </w:p>
    <w:p>
      <w:pPr>
        <w:pStyle w:val="18"/>
        <w:numPr>
          <w:ilvl w:val="0"/>
          <w:numId w:val="2"/>
        </w:numPr>
        <w:shd w:val="clear" w:color="auto" w:fill="FFFFFF"/>
        <w:autoSpaceDE w:val="0"/>
        <w:autoSpaceDN w:val="0"/>
        <w:adjustRightInd w:val="0"/>
        <w:spacing w:before="0" w:line="353" w:lineRule="auto"/>
        <w:ind w:left="994" w:hanging="432"/>
        <w:rPr>
          <w:rFonts w:ascii="Bookman Old Style" w:hAnsi="Bookman Old Style"/>
        </w:rPr>
      </w:pPr>
      <w:r>
        <w:rPr>
          <w:rFonts w:ascii="Bookman Old Style" w:hAnsi="Bookman Old Style"/>
        </w:rPr>
        <w:t>Peraturan Daerah Kabupaten Malang Nomor 6 Tahun 2008 tentang Rencana Pembangunan Jangka Panjang (RPJP) Daerah Kabupaten Malang Tahun 2005-2025 (Lembaran Daerah Kabupaten Malang Tahun 2008 Nomor 3/E);</w:t>
      </w:r>
    </w:p>
    <w:p>
      <w:pPr>
        <w:pStyle w:val="18"/>
        <w:numPr>
          <w:ilvl w:val="0"/>
          <w:numId w:val="2"/>
        </w:numPr>
        <w:shd w:val="clear" w:color="auto" w:fill="FFFFFF"/>
        <w:autoSpaceDE w:val="0"/>
        <w:autoSpaceDN w:val="0"/>
        <w:adjustRightInd w:val="0"/>
        <w:spacing w:before="0" w:line="353" w:lineRule="auto"/>
        <w:ind w:left="994" w:hanging="432"/>
        <w:rPr>
          <w:rFonts w:ascii="Bookman Old Style" w:hAnsi="Bookman Old Style"/>
        </w:rPr>
      </w:pPr>
      <w:r>
        <w:rPr>
          <w:rFonts w:ascii="Bookman Old Style" w:hAnsi="Bookman Old Style"/>
        </w:rPr>
        <w:t>Peraturan Daerah Kabupaten Malang Nomor 7 Tahun 2008 tentang Perencanaan Pembangunan Daerah (Lembaran Daerah Kabupaten Malang Tahun 2008 Nomor 4/E);</w:t>
      </w:r>
    </w:p>
    <w:p>
      <w:pPr>
        <w:pStyle w:val="18"/>
        <w:numPr>
          <w:ilvl w:val="0"/>
          <w:numId w:val="2"/>
        </w:numPr>
        <w:shd w:val="clear" w:color="auto" w:fill="FFFFFF"/>
        <w:autoSpaceDE w:val="0"/>
        <w:autoSpaceDN w:val="0"/>
        <w:adjustRightInd w:val="0"/>
        <w:spacing w:before="0" w:line="353" w:lineRule="auto"/>
        <w:ind w:left="993" w:hanging="426"/>
        <w:rPr>
          <w:rFonts w:ascii="Bookman Old Style" w:hAnsi="Bookman Old Style"/>
        </w:rPr>
      </w:pPr>
      <w:r>
        <w:rPr>
          <w:rFonts w:ascii="Bookman Old Style" w:hAnsi="Bookman Old Style" w:cs="Arial"/>
        </w:rPr>
        <w:t xml:space="preserve">Peraturan Daerah Kabupaten Malang Nomor 3 Tahun 2010 </w:t>
      </w:r>
      <w:r>
        <w:rPr>
          <w:rFonts w:ascii="Bookman Old Style" w:hAnsi="Bookman Old Style"/>
        </w:rPr>
        <w:t>tentang</w:t>
      </w:r>
      <w:r>
        <w:rPr>
          <w:rFonts w:ascii="Bookman Old Style" w:hAnsi="Bookman Old Style" w:cs="Arial"/>
        </w:rPr>
        <w:t xml:space="preserve"> Rencana Tata Ruang Wilayah Kabupaten Malang (Lembaran Daerah Kabupaten Malang Tahun 2010 Nomor 2/E);</w:t>
      </w:r>
    </w:p>
    <w:p>
      <w:pPr>
        <w:pStyle w:val="18"/>
        <w:numPr>
          <w:ilvl w:val="0"/>
          <w:numId w:val="2"/>
        </w:numPr>
        <w:shd w:val="clear" w:color="auto" w:fill="FFFFFF"/>
        <w:autoSpaceDE w:val="0"/>
        <w:autoSpaceDN w:val="0"/>
        <w:adjustRightInd w:val="0"/>
        <w:spacing w:before="0" w:line="362" w:lineRule="auto"/>
        <w:ind w:left="993" w:hanging="426"/>
        <w:rPr>
          <w:rFonts w:ascii="Bookman Old Style" w:hAnsi="Bookman Old Style"/>
        </w:rPr>
      </w:pPr>
      <w:r>
        <w:rPr>
          <w:rFonts w:ascii="Bookman Old Style" w:hAnsi="Bookman Old Style"/>
        </w:rPr>
        <w:t>Peraturan Daerah Kabupaten Malang Nomor 6 Tahun 2016 tentang Rencana Pembangunan Jangka Menengah Daerah Kabupaten Malang Tahun 2016-2021 (Lembaran Daerah Kabupaten Malang Tahun 2016 Nomor 4 Seri D), sebagaimana telah diubah dengan Peraturan Daerah Kabupaten Malang Nomor 14 Tahun 2018 tentang Perubahan atas Peraturan Daerah Kabupaten Malang Nomor 6 Tahun 2016 tentang Rencana Pembangunan Jangka Menengah Daerah Kabupaten Malang Tahun 2016-2021 (Lembaran Daerah Kabupaten Malang Tahun 2016 Nomor 11 Seri D);</w:t>
      </w:r>
    </w:p>
    <w:p>
      <w:pPr>
        <w:pStyle w:val="18"/>
        <w:numPr>
          <w:ilvl w:val="0"/>
          <w:numId w:val="2"/>
        </w:numPr>
        <w:shd w:val="clear" w:color="auto" w:fill="FFFFFF"/>
        <w:autoSpaceDE w:val="0"/>
        <w:autoSpaceDN w:val="0"/>
        <w:adjustRightInd w:val="0"/>
        <w:spacing w:before="0" w:line="362" w:lineRule="auto"/>
        <w:ind w:left="993" w:hanging="426"/>
        <w:rPr>
          <w:rFonts w:ascii="Bookman Old Style" w:hAnsi="Bookman Old Style"/>
        </w:rPr>
      </w:pPr>
      <w:r>
        <w:rPr>
          <w:rFonts w:ascii="Bookman Old Style" w:hAnsi="Bookman Old Style"/>
        </w:rPr>
        <w:t xml:space="preserve">Peraturan Daerah </w:t>
      </w:r>
      <w:r>
        <w:rPr>
          <w:rFonts w:ascii="Bookman Old Style" w:hAnsi="Bookman Old Style"/>
          <w:bCs/>
          <w:kern w:val="24"/>
        </w:rPr>
        <w:t xml:space="preserve">Kabupaten Malang Nomor 9 Tahun 2016 </w:t>
      </w:r>
      <w:r>
        <w:rPr>
          <w:rFonts w:ascii="Bookman Old Style" w:hAnsi="Bookman Old Style"/>
        </w:rPr>
        <w:t>tentang</w:t>
      </w:r>
      <w:r>
        <w:rPr>
          <w:rFonts w:ascii="Bookman Old Style" w:hAnsi="Bookman Old Style"/>
          <w:bCs/>
          <w:kern w:val="24"/>
        </w:rPr>
        <w:t xml:space="preserve"> </w:t>
      </w:r>
      <w:r>
        <w:rPr>
          <w:rFonts w:ascii="Bookman Old Style" w:hAnsi="Bookman Old Style" w:cs="Arial"/>
        </w:rPr>
        <w:t>Pembentukan</w:t>
      </w:r>
      <w:r>
        <w:rPr>
          <w:rFonts w:ascii="Bookman Old Style" w:hAnsi="Bookman Old Style"/>
          <w:bCs/>
          <w:kern w:val="24"/>
        </w:rPr>
        <w:t xml:space="preserve"> dan Susunan Perangkat Daerah (Lembaran Daerah Kabupaten Malang Tahun 2016 Nomor 1 Seri C), sebagaimana telah diubah dengan </w:t>
      </w:r>
      <w:r>
        <w:rPr>
          <w:rFonts w:ascii="Bookman Old Style" w:hAnsi="Bookman Old Style"/>
        </w:rPr>
        <w:t xml:space="preserve">Peraturan Daerah </w:t>
      </w:r>
      <w:r>
        <w:rPr>
          <w:rFonts w:ascii="Bookman Old Style" w:hAnsi="Bookman Old Style"/>
          <w:bCs/>
          <w:kern w:val="24"/>
        </w:rPr>
        <w:t xml:space="preserve">Kabupaten Malang Nomor 12 Tahun 2018 tentang Perubahan atas </w:t>
      </w:r>
      <w:r>
        <w:rPr>
          <w:rFonts w:ascii="Bookman Old Style" w:hAnsi="Bookman Old Style"/>
        </w:rPr>
        <w:t xml:space="preserve">Peraturan Daerah </w:t>
      </w:r>
      <w:r>
        <w:rPr>
          <w:rFonts w:ascii="Bookman Old Style" w:hAnsi="Bookman Old Style"/>
          <w:bCs/>
          <w:kern w:val="24"/>
        </w:rPr>
        <w:t>Nomor 9 Tahun 2016 tentang Pembentukan dan Susunan Perangkat Daerah (Lembaran Daerah Kabupaten Malang Tahun 2018 Nomor 1 Seri C);</w:t>
      </w:r>
    </w:p>
    <w:p>
      <w:pPr>
        <w:pStyle w:val="18"/>
        <w:numPr>
          <w:ilvl w:val="0"/>
          <w:numId w:val="2"/>
        </w:numPr>
        <w:shd w:val="clear" w:color="auto" w:fill="FFFFFF"/>
        <w:autoSpaceDE w:val="0"/>
        <w:autoSpaceDN w:val="0"/>
        <w:adjustRightInd w:val="0"/>
        <w:spacing w:before="0" w:line="362" w:lineRule="auto"/>
        <w:ind w:left="993" w:hanging="426"/>
        <w:rPr>
          <w:rFonts w:ascii="Bookman Old Style" w:hAnsi="Bookman Old Style"/>
        </w:rPr>
      </w:pPr>
      <w:r>
        <w:rPr>
          <w:rFonts w:ascii="Bookman Old Style" w:hAnsi="Bookman Old Style"/>
        </w:rPr>
        <w:t xml:space="preserve">Peraturan Bupati Malang Nomor 39 Tahun 2016 tentang </w:t>
      </w:r>
      <w:r>
        <w:rPr>
          <w:rFonts w:ascii="Bookman Old Style" w:hAnsi="Bookman Old Style"/>
          <w:bCs/>
          <w:kern w:val="24"/>
        </w:rPr>
        <w:t>Kedudukan</w:t>
      </w:r>
      <w:r>
        <w:rPr>
          <w:rFonts w:ascii="Bookman Old Style" w:hAnsi="Bookman Old Style"/>
        </w:rPr>
        <w:t xml:space="preserve">, Susunan Organisasi, Tugas dan Fungsi, serta Tata Kerja </w:t>
      </w:r>
      <w:r>
        <w:rPr>
          <w:rFonts w:ascii="Bookman Old Style" w:hAnsi="Bookman Old Style"/>
          <w:lang w:val="id-ID"/>
        </w:rPr>
        <w:t>Badan Pendapatan Daerah</w:t>
      </w:r>
      <w:r>
        <w:rPr>
          <w:rFonts w:ascii="Bookman Old Style" w:hAnsi="Bookman Old Style"/>
        </w:rPr>
        <w:t xml:space="preserve"> (Berita Daerah Kabupaten Malang Tahun 2016 Nomor 12 Seri C);</w:t>
      </w:r>
    </w:p>
    <w:p>
      <w:pPr>
        <w:pStyle w:val="18"/>
        <w:numPr>
          <w:ilvl w:val="0"/>
          <w:numId w:val="2"/>
        </w:numPr>
        <w:shd w:val="clear" w:color="auto" w:fill="FFFFFF"/>
        <w:autoSpaceDE w:val="0"/>
        <w:autoSpaceDN w:val="0"/>
        <w:adjustRightInd w:val="0"/>
        <w:spacing w:before="0" w:line="362" w:lineRule="auto"/>
        <w:ind w:left="993" w:hanging="426"/>
        <w:rPr>
          <w:rFonts w:ascii="Bookman Old Style" w:hAnsi="Bookman Old Style"/>
        </w:rPr>
      </w:pPr>
      <w:r>
        <w:rPr>
          <w:rFonts w:ascii="Bookman Old Style" w:hAnsi="Bookman Old Style"/>
        </w:rPr>
        <w:t>Peraturan Bupati Malang Nomor 23 Tahun 201</w:t>
      </w:r>
      <w:r>
        <w:rPr>
          <w:rFonts w:ascii="Bookman Old Style" w:hAnsi="Bookman Old Style"/>
          <w:lang w:val="id-ID"/>
        </w:rPr>
        <w:t>9</w:t>
      </w:r>
      <w:r>
        <w:rPr>
          <w:rFonts w:ascii="Bookman Old Style" w:hAnsi="Bookman Old Style"/>
        </w:rPr>
        <w:t xml:space="preserve"> tentang Rencana Kerja </w:t>
      </w:r>
      <w:r>
        <w:rPr>
          <w:rFonts w:ascii="Bookman Old Style" w:hAnsi="Bookman Old Style"/>
          <w:bCs/>
          <w:kern w:val="24"/>
        </w:rPr>
        <w:t>Pemerintah</w:t>
      </w:r>
      <w:r>
        <w:rPr>
          <w:rFonts w:ascii="Bookman Old Style" w:hAnsi="Bookman Old Style"/>
        </w:rPr>
        <w:t xml:space="preserve"> Daerah Tahun 20</w:t>
      </w:r>
      <w:r>
        <w:rPr>
          <w:rFonts w:ascii="Bookman Old Style" w:hAnsi="Bookman Old Style"/>
          <w:lang w:val="id-ID"/>
        </w:rPr>
        <w:t>20</w:t>
      </w:r>
      <w:r>
        <w:rPr>
          <w:rFonts w:ascii="Bookman Old Style" w:hAnsi="Bookman Old Style"/>
        </w:rPr>
        <w:t xml:space="preserve"> (Berita Daerah Kabupaten Malang Tahun 201</w:t>
      </w:r>
      <w:r>
        <w:rPr>
          <w:rFonts w:ascii="Bookman Old Style" w:hAnsi="Bookman Old Style"/>
          <w:lang w:val="id-ID"/>
        </w:rPr>
        <w:t>9</w:t>
      </w:r>
      <w:r>
        <w:rPr>
          <w:rFonts w:ascii="Bookman Old Style" w:hAnsi="Bookman Old Style"/>
        </w:rPr>
        <w:t xml:space="preserve"> Nomor 9 Seri D);</w:t>
      </w:r>
    </w:p>
    <w:p>
      <w:pPr>
        <w:pStyle w:val="18"/>
        <w:numPr>
          <w:ilvl w:val="0"/>
          <w:numId w:val="2"/>
        </w:numPr>
        <w:shd w:val="clear" w:color="auto" w:fill="FFFFFF"/>
        <w:autoSpaceDE w:val="0"/>
        <w:autoSpaceDN w:val="0"/>
        <w:adjustRightInd w:val="0"/>
        <w:spacing w:before="0" w:line="362" w:lineRule="auto"/>
        <w:ind w:left="993" w:hanging="426"/>
        <w:rPr>
          <w:rFonts w:ascii="Bookman Old Style" w:hAnsi="Bookman Old Style"/>
        </w:rPr>
      </w:pPr>
      <w:r>
        <w:rPr>
          <w:rFonts w:ascii="Bookman Old Style" w:hAnsi="Bookman Old Style"/>
        </w:rPr>
        <w:t>Keputusan Bupati Malang Nomor:188.45/986/KEP/35.07.205/2018 tentang Perubahan Atas Keputusan Bupati Malang Nomor: 188.45/584/KEP/35.07.205/2016 tentang Pengesahan Rancangan Akhir Rencana Strategis Badan Pendapatan Daerah Kabupaten Malang Tahun 2016-2021;</w:t>
      </w:r>
    </w:p>
    <w:p>
      <w:pPr>
        <w:pStyle w:val="18"/>
        <w:numPr>
          <w:ilvl w:val="0"/>
          <w:numId w:val="2"/>
        </w:numPr>
        <w:shd w:val="clear" w:color="auto" w:fill="FFFFFF"/>
        <w:autoSpaceDE w:val="0"/>
        <w:autoSpaceDN w:val="0"/>
        <w:adjustRightInd w:val="0"/>
        <w:spacing w:before="0" w:line="362" w:lineRule="auto"/>
        <w:ind w:left="993" w:hanging="426"/>
        <w:rPr>
          <w:rFonts w:ascii="Bookman Old Style" w:hAnsi="Bookman Old Style"/>
        </w:rPr>
      </w:pPr>
      <w:r>
        <w:rPr>
          <w:rFonts w:ascii="Bookman Old Style" w:hAnsi="Bookman Old Style"/>
        </w:rPr>
        <w:t>Keputusan Bupati Malang Nomor: 188.45/119/KEP/35.07.205/2019 tentang Tim Penyusun Renja Badan Pendapatan Daerah Kabupaten Malang Tahun 2020.</w:t>
      </w:r>
    </w:p>
    <w:p>
      <w:pPr>
        <w:pStyle w:val="18"/>
        <w:shd w:val="clear" w:color="auto" w:fill="FFFFFF"/>
        <w:autoSpaceDE w:val="0"/>
        <w:autoSpaceDN w:val="0"/>
        <w:adjustRightInd w:val="0"/>
        <w:spacing w:before="0" w:line="362" w:lineRule="auto"/>
        <w:ind w:left="993"/>
        <w:rPr>
          <w:rFonts w:ascii="Bookman Old Style" w:hAnsi="Bookman Old Style"/>
        </w:rPr>
      </w:pPr>
    </w:p>
    <w:p>
      <w:pPr>
        <w:pStyle w:val="15"/>
        <w:numPr>
          <w:ilvl w:val="1"/>
          <w:numId w:val="1"/>
        </w:numPr>
        <w:spacing w:line="362" w:lineRule="auto"/>
        <w:ind w:left="567" w:hanging="567"/>
        <w:contextualSpacing/>
        <w:rPr>
          <w:rFonts w:ascii="Bookman Old Style" w:hAnsi="Bookman Old Style" w:cs="Arial"/>
          <w:b/>
          <w:sz w:val="24"/>
          <w:szCs w:val="24"/>
          <w:lang w:val="en-GB"/>
        </w:rPr>
      </w:pPr>
      <w:r>
        <w:rPr>
          <w:rFonts w:ascii="Bookman Old Style" w:hAnsi="Bookman Old Style" w:cs="Arial"/>
          <w:b/>
          <w:sz w:val="24"/>
          <w:szCs w:val="24"/>
          <w:lang w:val="en-GB"/>
        </w:rPr>
        <w:t>Maksud dan Tujuan</w:t>
      </w:r>
    </w:p>
    <w:p>
      <w:pPr>
        <w:spacing w:after="0" w:line="362" w:lineRule="auto"/>
        <w:ind w:left="567" w:firstLine="567"/>
        <w:contextualSpacing/>
        <w:jc w:val="both"/>
        <w:rPr>
          <w:rFonts w:ascii="Bookman Old Style" w:hAnsi="Bookman Old Style" w:cs="Arial"/>
          <w:color w:val="000000" w:themeColor="text1"/>
          <w:sz w:val="24"/>
          <w:szCs w:val="24"/>
          <w:lang w:val="en-GB"/>
          <w14:textFill>
            <w14:solidFill>
              <w14:schemeClr w14:val="tx1"/>
            </w14:solidFill>
          </w14:textFill>
        </w:rPr>
      </w:pPr>
      <w:r>
        <w:rPr>
          <w:rFonts w:ascii="Bookman Old Style" w:hAnsi="Bookman Old Style" w:cs="Arial"/>
          <w:color w:val="000000" w:themeColor="text1"/>
          <w:sz w:val="24"/>
          <w:szCs w:val="24"/>
          <w:lang w:val="sv-SE"/>
          <w14:textFill>
            <w14:solidFill>
              <w14:schemeClr w14:val="tx1"/>
            </w14:solidFill>
          </w14:textFill>
        </w:rPr>
        <w:t xml:space="preserve">Maksud penyusunan </w:t>
      </w:r>
      <w:r>
        <w:rPr>
          <w:rFonts w:ascii="Bookman Old Style" w:hAnsi="Bookman Old Style" w:cs="Arial"/>
          <w:color w:val="000000" w:themeColor="text1"/>
          <w:sz w:val="24"/>
          <w:szCs w:val="24"/>
          <w:lang w:val="id-ID"/>
          <w14:textFill>
            <w14:solidFill>
              <w14:schemeClr w14:val="tx1"/>
            </w14:solidFill>
          </w14:textFill>
        </w:rPr>
        <w:t>Rancangan Awal</w:t>
      </w:r>
      <w:r>
        <w:rPr>
          <w:rFonts w:ascii="Bookman Old Style" w:hAnsi="Bookman Old Style" w:cs="Arial"/>
          <w:color w:val="000000" w:themeColor="text1"/>
          <w:sz w:val="24"/>
          <w:szCs w:val="24"/>
          <w:lang w:val="sv-SE"/>
          <w14:textFill>
            <w14:solidFill>
              <w14:schemeClr w14:val="tx1"/>
            </w14:solidFill>
          </w14:textFill>
        </w:rPr>
        <w:t xml:space="preserve"> Rencana Kerja </w:t>
      </w:r>
      <w:r>
        <w:rPr>
          <w:rFonts w:ascii="Bookman Old Style" w:hAnsi="Bookman Old Style" w:cs="Arial"/>
          <w:color w:val="000000" w:themeColor="text1"/>
          <w:sz w:val="24"/>
          <w:szCs w:val="24"/>
          <w:lang w:val="id-ID"/>
          <w14:textFill>
            <w14:solidFill>
              <w14:schemeClr w14:val="tx1"/>
            </w14:solidFill>
          </w14:textFill>
        </w:rPr>
        <w:t>B</w:t>
      </w:r>
      <w:r>
        <w:rPr>
          <w:rFonts w:ascii="Bookman Old Style" w:hAnsi="Bookman Old Style" w:cs="Arial"/>
          <w:color w:val="000000" w:themeColor="text1"/>
          <w:sz w:val="24"/>
          <w:szCs w:val="24"/>
          <w:lang w:val="en-GB"/>
          <w14:textFill>
            <w14:solidFill>
              <w14:schemeClr w14:val="tx1"/>
            </w14:solidFill>
          </w14:textFill>
        </w:rPr>
        <w:t xml:space="preserve">adan </w:t>
      </w:r>
      <w:r>
        <w:rPr>
          <w:rFonts w:ascii="Bookman Old Style" w:hAnsi="Bookman Old Style" w:cs="Arial"/>
          <w:color w:val="000000" w:themeColor="text1"/>
          <w:sz w:val="24"/>
          <w:szCs w:val="24"/>
          <w:lang w:val="id-ID"/>
          <w14:textFill>
            <w14:solidFill>
              <w14:schemeClr w14:val="tx1"/>
            </w14:solidFill>
          </w14:textFill>
        </w:rPr>
        <w:t>P</w:t>
      </w:r>
      <w:r>
        <w:rPr>
          <w:rFonts w:ascii="Bookman Old Style" w:hAnsi="Bookman Old Style" w:cs="Arial"/>
          <w:color w:val="000000" w:themeColor="text1"/>
          <w:sz w:val="24"/>
          <w:szCs w:val="24"/>
          <w:lang w:val="en-GB"/>
          <w14:textFill>
            <w14:solidFill>
              <w14:schemeClr w14:val="tx1"/>
            </w14:solidFill>
          </w14:textFill>
        </w:rPr>
        <w:t xml:space="preserve">endapatan </w:t>
      </w:r>
      <w:r>
        <w:rPr>
          <w:rFonts w:ascii="Bookman Old Style" w:hAnsi="Bookman Old Style" w:cs="Arial"/>
          <w:color w:val="000000" w:themeColor="text1"/>
          <w:sz w:val="24"/>
          <w:szCs w:val="24"/>
          <w:lang w:val="id-ID"/>
          <w14:textFill>
            <w14:solidFill>
              <w14:schemeClr w14:val="tx1"/>
            </w14:solidFill>
          </w14:textFill>
        </w:rPr>
        <w:t>D</w:t>
      </w:r>
      <w:r>
        <w:rPr>
          <w:rFonts w:ascii="Bookman Old Style" w:hAnsi="Bookman Old Style" w:cs="Arial"/>
          <w:color w:val="000000" w:themeColor="text1"/>
          <w:sz w:val="24"/>
          <w:szCs w:val="24"/>
          <w:lang w:val="en-GB"/>
          <w14:textFill>
            <w14:solidFill>
              <w14:schemeClr w14:val="tx1"/>
            </w14:solidFill>
          </w14:textFill>
        </w:rPr>
        <w:t>aerah</w:t>
      </w:r>
      <w:r>
        <w:rPr>
          <w:rFonts w:ascii="Bookman Old Style" w:hAnsi="Bookman Old Style" w:cs="Arial"/>
          <w:bCs/>
          <w:color w:val="000000" w:themeColor="text1"/>
          <w:spacing w:val="-4"/>
          <w:sz w:val="24"/>
          <w:szCs w:val="24"/>
          <w:lang w:val="sv-SE"/>
          <w14:textFill>
            <w14:solidFill>
              <w14:schemeClr w14:val="tx1"/>
            </w14:solidFill>
          </w14:textFill>
        </w:rPr>
        <w:t xml:space="preserve"> Kabupaten Malang</w:t>
      </w:r>
      <w:r>
        <w:rPr>
          <w:rFonts w:ascii="Bookman Old Style" w:hAnsi="Bookman Old Style" w:cs="Arial"/>
          <w:color w:val="000000" w:themeColor="text1"/>
          <w:sz w:val="24"/>
          <w:szCs w:val="24"/>
          <w:lang w:val="id-ID"/>
          <w14:textFill>
            <w14:solidFill>
              <w14:schemeClr w14:val="tx1"/>
            </w14:solidFill>
          </w14:textFill>
        </w:rPr>
        <w:t>Tahun 2020</w:t>
      </w:r>
      <w:r>
        <w:rPr>
          <w:rFonts w:ascii="Bookman Old Style" w:hAnsi="Bookman Old Style" w:cs="Arial"/>
          <w:color w:val="000000" w:themeColor="text1"/>
          <w:sz w:val="24"/>
          <w:szCs w:val="24"/>
          <w:lang w:val="en-GB"/>
          <w14:textFill>
            <w14:solidFill>
              <w14:schemeClr w14:val="tx1"/>
            </w14:solidFill>
          </w14:textFill>
        </w:rPr>
        <w:t xml:space="preserve"> adalah :</w:t>
      </w:r>
    </w:p>
    <w:p>
      <w:pPr>
        <w:pStyle w:val="18"/>
        <w:numPr>
          <w:ilvl w:val="1"/>
          <w:numId w:val="3"/>
        </w:numPr>
        <w:suppressAutoHyphens w:val="0"/>
        <w:autoSpaceDE w:val="0"/>
        <w:autoSpaceDN w:val="0"/>
        <w:adjustRightInd w:val="0"/>
        <w:spacing w:before="0" w:line="362" w:lineRule="auto"/>
        <w:ind w:left="1350" w:hanging="284"/>
        <w:rPr>
          <w:rFonts w:ascii="Bookman Old Style" w:hAnsi="Bookman Old Style" w:cs="Arial"/>
          <w:color w:val="000000" w:themeColor="text1"/>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M</w:t>
      </w:r>
      <w:r>
        <w:rPr>
          <w:rFonts w:ascii="Bookman Old Style" w:hAnsi="Bookman Old Style" w:cs="Arial"/>
          <w:color w:val="000000" w:themeColor="text1"/>
          <w14:textFill>
            <w14:solidFill>
              <w14:schemeClr w14:val="tx1"/>
            </w14:solidFill>
          </w14:textFill>
        </w:rPr>
        <w:t xml:space="preserve">engoptimalkan </w:t>
      </w:r>
      <w:r>
        <w:rPr>
          <w:rFonts w:ascii="Bookman Old Style" w:hAnsi="Bookman Old Style" w:cs="Arial"/>
          <w:color w:val="000000" w:themeColor="text1"/>
          <w:lang w:val="id-ID"/>
          <w14:textFill>
            <w14:solidFill>
              <w14:schemeClr w14:val="tx1"/>
            </w14:solidFill>
          </w14:textFill>
        </w:rPr>
        <w:t>pelaksanaan program dan kegiatan</w:t>
      </w:r>
      <w:r>
        <w:rPr>
          <w:rFonts w:ascii="Bookman Old Style" w:hAnsi="Bookman Old Style" w:cs="Arial"/>
          <w:color w:val="000000" w:themeColor="text1"/>
          <w14:textFill>
            <w14:solidFill>
              <w14:schemeClr w14:val="tx1"/>
            </w14:solidFill>
          </w14:textFill>
        </w:rPr>
        <w:t xml:space="preserve"> dalam mencapai target pencapaian </w:t>
      </w:r>
      <w:r>
        <w:rPr>
          <w:rFonts w:ascii="Bookman Old Style" w:hAnsi="Bookman Old Style" w:cs="Arial"/>
          <w:color w:val="000000" w:themeColor="text1"/>
          <w:lang w:val="id-ID"/>
          <w14:textFill>
            <w14:solidFill>
              <w14:schemeClr w14:val="tx1"/>
            </w14:solidFill>
          </w14:textFill>
        </w:rPr>
        <w:t>dalam tahun anggaran 2020</w:t>
      </w:r>
      <w:r>
        <w:rPr>
          <w:rFonts w:ascii="Bookman Old Style" w:hAnsi="Bookman Old Style" w:cs="Arial"/>
          <w:color w:val="000000" w:themeColor="text1"/>
          <w14:textFill>
            <w14:solidFill>
              <w14:schemeClr w14:val="tx1"/>
            </w14:solidFill>
          </w14:textFill>
        </w:rPr>
        <w:t>;</w:t>
      </w:r>
    </w:p>
    <w:p>
      <w:pPr>
        <w:numPr>
          <w:ilvl w:val="1"/>
          <w:numId w:val="3"/>
        </w:numPr>
        <w:tabs>
          <w:tab w:val="left" w:pos="851"/>
        </w:tabs>
        <w:autoSpaceDE w:val="0"/>
        <w:autoSpaceDN w:val="0"/>
        <w:adjustRightInd w:val="0"/>
        <w:spacing w:after="0" w:line="362" w:lineRule="auto"/>
        <w:ind w:left="1350" w:hanging="284"/>
        <w:contextualSpacing/>
        <w:jc w:val="both"/>
        <w:rPr>
          <w:rFonts w:ascii="Bookman Old Style" w:hAnsi="Bookman Old Style" w:cs="Arial"/>
          <w:color w:val="000000" w:themeColor="text1"/>
          <w:sz w:val="24"/>
          <w:szCs w:val="24"/>
          <w:lang w:val="es-ES"/>
          <w14:textFill>
            <w14:solidFill>
              <w14:schemeClr w14:val="tx1"/>
            </w14:solidFill>
          </w14:textFill>
        </w:rPr>
      </w:pPr>
      <w:r>
        <w:rPr>
          <w:rFonts w:ascii="Bookman Old Style" w:hAnsi="Bookman Old Style" w:cs="Arial"/>
          <w:color w:val="000000" w:themeColor="text1"/>
          <w:sz w:val="24"/>
          <w:szCs w:val="24"/>
          <w14:textFill>
            <w14:solidFill>
              <w14:schemeClr w14:val="tx1"/>
            </w14:solidFill>
          </w14:textFill>
        </w:rPr>
        <w:t>Memberikan pedoman yang dapat mengarahkan seluruh potensi dalam rangka mewujudkan keterpaduan program dan kegiatan</w:t>
      </w:r>
      <w:r>
        <w:rPr>
          <w:rFonts w:ascii="Bookman Old Style" w:hAnsi="Bookman Old Style" w:cs="Arial"/>
          <w:color w:val="000000" w:themeColor="text1"/>
          <w:sz w:val="24"/>
          <w:szCs w:val="24"/>
          <w:lang w:val="id-ID"/>
          <w14:textFill>
            <w14:solidFill>
              <w14:schemeClr w14:val="tx1"/>
            </w14:solidFill>
          </w14:textFill>
        </w:rPr>
        <w:t>di tahun 2020</w:t>
      </w:r>
      <w:r>
        <w:rPr>
          <w:rFonts w:ascii="Bookman Old Style" w:hAnsi="Bookman Old Style" w:cs="Arial"/>
          <w:color w:val="000000" w:themeColor="text1"/>
          <w:sz w:val="24"/>
          <w:szCs w:val="24"/>
          <w14:textFill>
            <w14:solidFill>
              <w14:schemeClr w14:val="tx1"/>
            </w14:solidFill>
          </w14:textFill>
        </w:rPr>
        <w:t>;dan</w:t>
      </w:r>
    </w:p>
    <w:p>
      <w:pPr>
        <w:numPr>
          <w:ilvl w:val="1"/>
          <w:numId w:val="3"/>
        </w:numPr>
        <w:tabs>
          <w:tab w:val="left" w:pos="851"/>
        </w:tabs>
        <w:autoSpaceDE w:val="0"/>
        <w:autoSpaceDN w:val="0"/>
        <w:adjustRightInd w:val="0"/>
        <w:spacing w:after="0" w:line="362" w:lineRule="auto"/>
        <w:ind w:left="1350" w:hanging="284"/>
        <w:contextualSpacing/>
        <w:jc w:val="both"/>
        <w:rPr>
          <w:rFonts w:ascii="Bookman Old Style" w:hAnsi="Bookman Old Style" w:cs="Arial"/>
          <w:color w:val="000000" w:themeColor="text1"/>
          <w:sz w:val="24"/>
          <w:szCs w:val="24"/>
          <w14:textFill>
            <w14:solidFill>
              <w14:schemeClr w14:val="tx1"/>
            </w14:solidFill>
          </w14:textFill>
        </w:rPr>
      </w:pPr>
      <w:r>
        <w:rPr>
          <w:rFonts w:ascii="Bookman Old Style" w:hAnsi="Bookman Old Style" w:cs="Arial"/>
          <w:color w:val="000000" w:themeColor="text1"/>
          <w:sz w:val="24"/>
          <w:szCs w:val="24"/>
          <w14:textFill>
            <w14:solidFill>
              <w14:schemeClr w14:val="tx1"/>
            </w14:solidFill>
          </w14:textFill>
        </w:rPr>
        <w:t>Memberikan umpan balik sebuah proses perencanaan</w:t>
      </w:r>
      <w:r>
        <w:rPr>
          <w:rFonts w:ascii="Bookman Old Style" w:hAnsi="Bookman Old Style" w:cs="Arial"/>
          <w:color w:val="000000" w:themeColor="text1"/>
          <w:sz w:val="24"/>
          <w:szCs w:val="24"/>
          <w:lang w:val="id-ID"/>
          <w14:textFill>
            <w14:solidFill>
              <w14:schemeClr w14:val="tx1"/>
            </w14:solidFill>
          </w14:textFill>
        </w:rPr>
        <w:t xml:space="preserve"> dalam rangka perencanaan tahun 2020</w:t>
      </w:r>
      <w:r>
        <w:rPr>
          <w:rFonts w:ascii="Bookman Old Style" w:hAnsi="Bookman Old Style" w:cs="Arial"/>
          <w:color w:val="000000" w:themeColor="text1"/>
          <w:sz w:val="24"/>
          <w:szCs w:val="24"/>
          <w14:textFill>
            <w14:solidFill>
              <w14:schemeClr w14:val="tx1"/>
            </w14:solidFill>
          </w14:textFill>
        </w:rPr>
        <w:t>.</w:t>
      </w:r>
    </w:p>
    <w:p>
      <w:pPr>
        <w:spacing w:after="0" w:line="362" w:lineRule="auto"/>
        <w:ind w:left="346" w:firstLine="720"/>
        <w:contextualSpacing/>
        <w:jc w:val="both"/>
        <w:rPr>
          <w:rFonts w:ascii="Bookman Old Style" w:hAnsi="Bookman Old Style" w:cs="Arial"/>
          <w:color w:val="000000" w:themeColor="text1"/>
          <w:sz w:val="24"/>
          <w:szCs w:val="24"/>
          <w:lang w:val="es-ES"/>
          <w14:textFill>
            <w14:solidFill>
              <w14:schemeClr w14:val="tx1"/>
            </w14:solidFill>
          </w14:textFill>
        </w:rPr>
      </w:pPr>
      <w:r>
        <w:rPr>
          <w:rFonts w:ascii="Bookman Old Style" w:hAnsi="Bookman Old Style" w:cs="Arial"/>
          <w:color w:val="000000" w:themeColor="text1"/>
          <w:sz w:val="24"/>
          <w:szCs w:val="24"/>
          <w:lang w:val="sv-SE"/>
          <w14:textFill>
            <w14:solidFill>
              <w14:schemeClr w14:val="tx1"/>
            </w14:solidFill>
          </w14:textFill>
        </w:rPr>
        <w:t>Sedangkan</w:t>
      </w:r>
      <w:r>
        <w:rPr>
          <w:rFonts w:ascii="Bookman Old Style" w:hAnsi="Bookman Old Style" w:cs="Arial"/>
          <w:color w:val="000000" w:themeColor="text1"/>
          <w:sz w:val="24"/>
          <w:szCs w:val="24"/>
          <w14:textFill>
            <w14:solidFill>
              <w14:schemeClr w14:val="tx1"/>
            </w14:solidFill>
          </w14:textFill>
        </w:rPr>
        <w:t xml:space="preserve"> tujuannya adalah </w:t>
      </w:r>
      <w:r>
        <w:rPr>
          <w:rFonts w:ascii="Bookman Old Style" w:hAnsi="Bookman Old Style" w:cs="Arial"/>
          <w:color w:val="000000" w:themeColor="text1"/>
          <w:sz w:val="24"/>
          <w:szCs w:val="24"/>
          <w:lang w:val="id-ID"/>
          <w14:textFill>
            <w14:solidFill>
              <w14:schemeClr w14:val="tx1"/>
            </w14:solidFill>
          </w14:textFill>
        </w:rPr>
        <w:t>M</w:t>
      </w:r>
      <w:r>
        <w:rPr>
          <w:rFonts w:ascii="Bookman Old Style" w:hAnsi="Bookman Old Style" w:cs="Arial"/>
          <w:color w:val="000000" w:themeColor="text1"/>
          <w:sz w:val="24"/>
          <w:szCs w:val="24"/>
          <w:lang w:val="es-ES"/>
          <w14:textFill>
            <w14:solidFill>
              <w14:schemeClr w14:val="tx1"/>
            </w14:solidFill>
          </w14:textFill>
        </w:rPr>
        <w:t xml:space="preserve">ewujudkan efisiensi dan efektifitas terhadap alokasi sumber daya dalam </w:t>
      </w:r>
      <w:r>
        <w:rPr>
          <w:rFonts w:ascii="Bookman Old Style" w:hAnsi="Bookman Old Style" w:cs="Arial"/>
          <w:color w:val="000000" w:themeColor="text1"/>
          <w:sz w:val="24"/>
          <w:szCs w:val="24"/>
          <w:lang w:val="id-ID"/>
          <w14:textFill>
            <w14:solidFill>
              <w14:schemeClr w14:val="tx1"/>
            </w14:solidFill>
          </w14:textFill>
        </w:rPr>
        <w:t>meningkatkan penerimaan pendapatan daerah ditahun 2020 sesuai target sasaran strategis yang telah ditetapkan</w:t>
      </w:r>
      <w:r>
        <w:rPr>
          <w:rFonts w:ascii="Bookman Old Style" w:hAnsi="Bookman Old Style" w:cs="Arial"/>
          <w:color w:val="000000" w:themeColor="text1"/>
          <w:sz w:val="24"/>
          <w:szCs w:val="24"/>
          <w:lang w:val="es-ES"/>
          <w14:textFill>
            <w14:solidFill>
              <w14:schemeClr w14:val="tx1"/>
            </w14:solidFill>
          </w14:textFill>
        </w:rPr>
        <w:t>;</w:t>
      </w:r>
    </w:p>
    <w:p>
      <w:pPr>
        <w:spacing w:after="0" w:line="362" w:lineRule="auto"/>
        <w:ind w:left="346" w:firstLine="720"/>
        <w:contextualSpacing/>
        <w:jc w:val="both"/>
        <w:rPr>
          <w:rFonts w:ascii="Bookman Old Style" w:hAnsi="Bookman Old Style" w:cs="Arial"/>
          <w:color w:val="000000" w:themeColor="text1"/>
          <w:sz w:val="24"/>
          <w:szCs w:val="24"/>
          <w14:textFill>
            <w14:solidFill>
              <w14:schemeClr w14:val="tx1"/>
            </w14:solidFill>
          </w14:textFill>
        </w:rPr>
      </w:pPr>
    </w:p>
    <w:p>
      <w:pPr>
        <w:pStyle w:val="15"/>
        <w:numPr>
          <w:ilvl w:val="1"/>
          <w:numId w:val="1"/>
        </w:numPr>
        <w:spacing w:line="360" w:lineRule="auto"/>
        <w:ind w:left="567" w:hanging="567"/>
        <w:rPr>
          <w:rFonts w:ascii="Bookman Old Style" w:hAnsi="Bookman Old Style" w:cs="Arial"/>
          <w:b/>
          <w:sz w:val="24"/>
          <w:szCs w:val="24"/>
          <w:lang w:val="en-GB"/>
        </w:rPr>
      </w:pPr>
      <w:r>
        <w:rPr>
          <w:rFonts w:ascii="Bookman Old Style" w:hAnsi="Bookman Old Style" w:cs="Arial"/>
          <w:b/>
          <w:sz w:val="24"/>
          <w:szCs w:val="24"/>
          <w:lang w:val="en-GB"/>
        </w:rPr>
        <w:t>Sistematika Penulisan</w:t>
      </w:r>
    </w:p>
    <w:p>
      <w:pPr>
        <w:pStyle w:val="15"/>
        <w:spacing w:line="360" w:lineRule="auto"/>
        <w:ind w:left="567" w:firstLine="567"/>
        <w:jc w:val="both"/>
        <w:rPr>
          <w:rFonts w:ascii="Bookman Old Style" w:hAnsi="Bookman Old Style" w:cs="Arial"/>
          <w:sz w:val="24"/>
          <w:szCs w:val="24"/>
          <w:lang w:val="en-GB"/>
        </w:rPr>
      </w:pPr>
      <w:r>
        <w:rPr>
          <w:rFonts w:ascii="Bookman Old Style" w:hAnsi="Bookman Old Style" w:cs="Arial"/>
          <w:sz w:val="24"/>
          <w:szCs w:val="24"/>
          <w:lang w:val="en-GB"/>
        </w:rPr>
        <w:t>Adapun sistematika Rencana Kerja Badan Pendapatan Daerah Kabupaten Malang Tahun 20</w:t>
      </w:r>
      <w:r>
        <w:rPr>
          <w:rFonts w:ascii="Bookman Old Style" w:hAnsi="Bookman Old Style" w:cs="Arial"/>
          <w:sz w:val="24"/>
          <w:szCs w:val="24"/>
        </w:rPr>
        <w:t>20</w:t>
      </w:r>
      <w:r>
        <w:rPr>
          <w:rFonts w:ascii="Bookman Old Style" w:hAnsi="Bookman Old Style" w:cs="Arial"/>
          <w:sz w:val="24"/>
          <w:szCs w:val="24"/>
          <w:lang w:val="en-GB"/>
        </w:rPr>
        <w:t xml:space="preserve"> adalah sebagai berikut:</w:t>
      </w:r>
    </w:p>
    <w:p>
      <w:pPr>
        <w:widowControl w:val="0"/>
        <w:spacing w:after="0" w:line="312" w:lineRule="auto"/>
        <w:ind w:left="1418" w:hanging="879"/>
        <w:contextualSpacing/>
        <w:jc w:val="both"/>
        <w:rPr>
          <w:rFonts w:ascii="Bookman Old Style" w:hAnsi="Bookman Old Style" w:cs="Arial"/>
          <w:sz w:val="24"/>
          <w:szCs w:val="24"/>
          <w:lang w:val="en-GB"/>
        </w:rPr>
      </w:pPr>
      <w:r>
        <w:rPr>
          <w:rFonts w:ascii="Bookman Old Style" w:hAnsi="Bookman Old Style" w:cs="Arial"/>
          <w:sz w:val="24"/>
          <w:szCs w:val="24"/>
          <w:lang w:val="en-GB"/>
        </w:rPr>
        <w:t>BAB I</w:t>
      </w:r>
      <w:r>
        <w:rPr>
          <w:rFonts w:ascii="Bookman Old Style" w:hAnsi="Bookman Old Style" w:cs="Arial"/>
          <w:sz w:val="24"/>
          <w:szCs w:val="24"/>
          <w:lang w:val="en-GB"/>
        </w:rPr>
        <w:tab/>
      </w:r>
      <w:r>
        <w:rPr>
          <w:rFonts w:ascii="Bookman Old Style" w:hAnsi="Bookman Old Style" w:eastAsia="Times New Roman" w:cs="Arial"/>
          <w:sz w:val="24"/>
          <w:szCs w:val="24"/>
        </w:rPr>
        <w:t>PENDAHULUAN</w:t>
      </w:r>
    </w:p>
    <w:p>
      <w:pPr>
        <w:pStyle w:val="15"/>
        <w:numPr>
          <w:ilvl w:val="1"/>
          <w:numId w:val="4"/>
        </w:numPr>
        <w:spacing w:line="360" w:lineRule="auto"/>
        <w:ind w:left="1980" w:hanging="567"/>
        <w:jc w:val="both"/>
        <w:rPr>
          <w:rFonts w:ascii="Bookman Old Style" w:hAnsi="Bookman Old Style" w:cs="Arial"/>
          <w:sz w:val="24"/>
          <w:szCs w:val="24"/>
          <w:lang w:val="en-GB"/>
        </w:rPr>
      </w:pPr>
      <w:r>
        <w:rPr>
          <w:rFonts w:ascii="Bookman Old Style" w:hAnsi="Bookman Old Style" w:cs="Arial"/>
          <w:sz w:val="24"/>
          <w:szCs w:val="24"/>
          <w:lang w:val="en-GB"/>
        </w:rPr>
        <w:t>Latar Belakang</w:t>
      </w:r>
    </w:p>
    <w:p>
      <w:pPr>
        <w:pStyle w:val="15"/>
        <w:numPr>
          <w:ilvl w:val="1"/>
          <w:numId w:val="4"/>
        </w:numPr>
        <w:spacing w:line="360" w:lineRule="auto"/>
        <w:ind w:left="1980" w:hanging="567"/>
        <w:jc w:val="both"/>
        <w:rPr>
          <w:rFonts w:ascii="Bookman Old Style" w:hAnsi="Bookman Old Style" w:cs="Arial"/>
          <w:sz w:val="24"/>
          <w:szCs w:val="24"/>
          <w:lang w:val="en-GB"/>
        </w:rPr>
      </w:pPr>
      <w:r>
        <w:rPr>
          <w:rFonts w:ascii="Bookman Old Style" w:hAnsi="Bookman Old Style" w:cs="Arial"/>
          <w:sz w:val="24"/>
          <w:szCs w:val="24"/>
          <w:lang w:val="en-GB"/>
        </w:rPr>
        <w:t>Landasan Hukum</w:t>
      </w:r>
    </w:p>
    <w:p>
      <w:pPr>
        <w:pStyle w:val="15"/>
        <w:numPr>
          <w:ilvl w:val="1"/>
          <w:numId w:val="4"/>
        </w:numPr>
        <w:spacing w:line="360" w:lineRule="auto"/>
        <w:ind w:left="1980" w:hanging="567"/>
        <w:jc w:val="both"/>
        <w:rPr>
          <w:rFonts w:ascii="Bookman Old Style" w:hAnsi="Bookman Old Style" w:cs="Arial"/>
          <w:sz w:val="24"/>
          <w:szCs w:val="24"/>
          <w:lang w:val="en-GB"/>
        </w:rPr>
      </w:pPr>
      <w:r>
        <w:rPr>
          <w:rFonts w:ascii="Bookman Old Style" w:hAnsi="Bookman Old Style" w:cs="Arial"/>
          <w:sz w:val="24"/>
          <w:szCs w:val="24"/>
          <w:lang w:val="en-GB"/>
        </w:rPr>
        <w:t>Maksud dan Tujuan</w:t>
      </w:r>
    </w:p>
    <w:p>
      <w:pPr>
        <w:pStyle w:val="15"/>
        <w:numPr>
          <w:ilvl w:val="1"/>
          <w:numId w:val="4"/>
        </w:numPr>
        <w:spacing w:line="360" w:lineRule="auto"/>
        <w:ind w:left="1980" w:hanging="567"/>
        <w:jc w:val="both"/>
        <w:rPr>
          <w:rFonts w:ascii="Bookman Old Style" w:hAnsi="Bookman Old Style" w:cs="Arial"/>
          <w:sz w:val="24"/>
          <w:szCs w:val="24"/>
          <w:lang w:val="en-GB"/>
        </w:rPr>
      </w:pPr>
      <w:r>
        <w:rPr>
          <w:rFonts w:ascii="Bookman Old Style" w:hAnsi="Bookman Old Style" w:cs="Arial"/>
          <w:sz w:val="24"/>
          <w:szCs w:val="24"/>
          <w:lang w:val="en-GB"/>
        </w:rPr>
        <w:t>Sistematika Penulisan</w:t>
      </w:r>
    </w:p>
    <w:p>
      <w:pPr>
        <w:widowControl w:val="0"/>
        <w:spacing w:after="0" w:line="312" w:lineRule="auto"/>
        <w:ind w:left="1418" w:hanging="879"/>
        <w:contextualSpacing/>
        <w:jc w:val="both"/>
        <w:rPr>
          <w:rFonts w:ascii="Bookman Old Style" w:hAnsi="Bookman Old Style" w:cs="Arial"/>
          <w:sz w:val="24"/>
          <w:szCs w:val="24"/>
          <w:lang w:val="en-GB"/>
        </w:rPr>
      </w:pPr>
      <w:r>
        <w:rPr>
          <w:rFonts w:ascii="Bookman Old Style" w:hAnsi="Bookman Old Style" w:cs="Arial"/>
          <w:sz w:val="24"/>
          <w:szCs w:val="24"/>
          <w:lang w:val="en-GB"/>
        </w:rPr>
        <w:t>BAB II</w:t>
      </w:r>
      <w:r>
        <w:rPr>
          <w:rFonts w:ascii="Bookman Old Style" w:hAnsi="Bookman Old Style" w:cs="Arial"/>
          <w:sz w:val="24"/>
          <w:szCs w:val="24"/>
          <w:lang w:val="en-GB"/>
        </w:rPr>
        <w:tab/>
      </w:r>
      <w:r>
        <w:rPr>
          <w:rFonts w:ascii="Bookman Old Style" w:hAnsi="Bookman Old Style" w:eastAsia="Times New Roman" w:cs="Arial"/>
          <w:sz w:val="24"/>
          <w:szCs w:val="24"/>
        </w:rPr>
        <w:t>EVALUASI</w:t>
      </w:r>
      <w:r>
        <w:rPr>
          <w:rFonts w:ascii="Bookman Old Style" w:hAnsi="Bookman Old Style" w:cs="Arial"/>
          <w:sz w:val="24"/>
          <w:szCs w:val="24"/>
          <w:lang w:val="en-GB"/>
        </w:rPr>
        <w:t xml:space="preserve"> PELAKSANAAN </w:t>
      </w:r>
      <w:r>
        <w:rPr>
          <w:rFonts w:ascii="Bookman Old Style" w:hAnsi="Bookman Old Style" w:cs="Arial"/>
          <w:sz w:val="24"/>
          <w:szCs w:val="24"/>
        </w:rPr>
        <w:t xml:space="preserve">RENCANA KERJA </w:t>
      </w:r>
      <w:r>
        <w:rPr>
          <w:rFonts w:ascii="Bookman Old Style" w:hAnsi="Bookman Old Style" w:cs="Arial"/>
          <w:sz w:val="24"/>
          <w:szCs w:val="24"/>
          <w:lang w:val="en-GB"/>
        </w:rPr>
        <w:t xml:space="preserve">BADAN PENDAPATAN DAERAH TAHUN 2018 </w:t>
      </w:r>
    </w:p>
    <w:p>
      <w:pPr>
        <w:pStyle w:val="15"/>
        <w:numPr>
          <w:ilvl w:val="1"/>
          <w:numId w:val="5"/>
        </w:numPr>
        <w:spacing w:line="360" w:lineRule="auto"/>
        <w:ind w:left="1980" w:hanging="567"/>
        <w:jc w:val="both"/>
        <w:rPr>
          <w:rFonts w:ascii="Bookman Old Style" w:hAnsi="Bookman Old Style" w:cs="Arial"/>
          <w:sz w:val="24"/>
          <w:szCs w:val="24"/>
          <w:lang w:val="en-GB"/>
        </w:rPr>
      </w:pPr>
      <w:r>
        <w:rPr>
          <w:rFonts w:ascii="Bookman Old Style" w:hAnsi="Bookman Old Style" w:cs="Arial"/>
          <w:sz w:val="24"/>
          <w:szCs w:val="24"/>
          <w:lang w:val="en-GB"/>
        </w:rPr>
        <w:t>Evaluasi Pelaksanaan Renja Badan Pendapatan Daerah</w:t>
      </w:r>
    </w:p>
    <w:p>
      <w:pPr>
        <w:pStyle w:val="15"/>
        <w:numPr>
          <w:ilvl w:val="1"/>
          <w:numId w:val="5"/>
        </w:numPr>
        <w:spacing w:line="360" w:lineRule="auto"/>
        <w:ind w:left="1980" w:hanging="567"/>
        <w:jc w:val="both"/>
        <w:rPr>
          <w:rFonts w:ascii="Bookman Old Style" w:hAnsi="Bookman Old Style" w:cs="Arial"/>
          <w:sz w:val="24"/>
          <w:szCs w:val="24"/>
          <w:lang w:val="en-GB"/>
        </w:rPr>
      </w:pPr>
      <w:r>
        <w:rPr>
          <w:rFonts w:ascii="Bookman Old Style" w:hAnsi="Bookman Old Style" w:cs="Arial"/>
          <w:sz w:val="24"/>
          <w:szCs w:val="24"/>
          <w:lang w:val="en-GB"/>
        </w:rPr>
        <w:t>Analisis Kinerja Badan PendapatanDaerah</w:t>
      </w:r>
    </w:p>
    <w:p>
      <w:pPr>
        <w:pStyle w:val="15"/>
        <w:numPr>
          <w:ilvl w:val="1"/>
          <w:numId w:val="5"/>
        </w:numPr>
        <w:spacing w:line="360" w:lineRule="auto"/>
        <w:ind w:left="1980" w:hanging="567"/>
        <w:jc w:val="both"/>
        <w:rPr>
          <w:rFonts w:ascii="Bookman Old Style" w:hAnsi="Bookman Old Style" w:cs="Arial"/>
          <w:sz w:val="24"/>
          <w:szCs w:val="24"/>
          <w:lang w:val="en-GB"/>
        </w:rPr>
      </w:pPr>
      <w:r>
        <w:rPr>
          <w:rFonts w:ascii="Bookman Old Style" w:hAnsi="Bookman Old Style" w:cs="Arial"/>
          <w:sz w:val="24"/>
          <w:szCs w:val="24"/>
          <w:lang w:val="en-GB"/>
        </w:rPr>
        <w:t>Isu – isu Penting Penyelenggaraan Tugas dan Fungsi Badan Pendapatan Daerah</w:t>
      </w:r>
    </w:p>
    <w:p>
      <w:pPr>
        <w:pStyle w:val="15"/>
        <w:numPr>
          <w:ilvl w:val="1"/>
          <w:numId w:val="5"/>
        </w:numPr>
        <w:spacing w:line="360" w:lineRule="auto"/>
        <w:ind w:left="1980" w:hanging="567"/>
        <w:jc w:val="both"/>
        <w:rPr>
          <w:rFonts w:ascii="Bookman Old Style" w:hAnsi="Bookman Old Style" w:cs="Arial"/>
          <w:sz w:val="24"/>
          <w:szCs w:val="24"/>
          <w:lang w:val="en-GB"/>
        </w:rPr>
      </w:pPr>
      <w:r>
        <w:rPr>
          <w:rFonts w:ascii="Bookman Old Style" w:hAnsi="Bookman Old Style" w:cs="Arial"/>
          <w:sz w:val="24"/>
          <w:szCs w:val="24"/>
          <w:lang w:val="en-GB"/>
        </w:rPr>
        <w:t>Reviu terhadap Rancangan Awal RKPD</w:t>
      </w:r>
    </w:p>
    <w:p>
      <w:pPr>
        <w:pStyle w:val="15"/>
        <w:numPr>
          <w:ilvl w:val="1"/>
          <w:numId w:val="5"/>
        </w:numPr>
        <w:spacing w:line="360" w:lineRule="auto"/>
        <w:ind w:left="1980" w:hanging="567"/>
        <w:jc w:val="both"/>
        <w:rPr>
          <w:rFonts w:ascii="Bookman Old Style" w:hAnsi="Bookman Old Style" w:cs="Arial"/>
          <w:sz w:val="24"/>
          <w:szCs w:val="24"/>
          <w:lang w:val="en-GB"/>
        </w:rPr>
      </w:pPr>
      <w:r>
        <w:rPr>
          <w:rFonts w:ascii="Bookman Old Style" w:hAnsi="Bookman Old Style" w:cs="Arial"/>
          <w:sz w:val="24"/>
          <w:szCs w:val="24"/>
          <w:lang w:val="en-GB"/>
        </w:rPr>
        <w:t>Penelaahan Usulan Program dan Kegiatan</w:t>
      </w:r>
      <w:r>
        <w:rPr>
          <w:rFonts w:ascii="Bookman Old Style" w:hAnsi="Bookman Old Style" w:cs="Arial"/>
          <w:sz w:val="24"/>
          <w:szCs w:val="24"/>
        </w:rPr>
        <w:t xml:space="preserve"> Masyarakat</w:t>
      </w:r>
    </w:p>
    <w:p>
      <w:pPr>
        <w:widowControl w:val="0"/>
        <w:spacing w:after="0" w:line="312" w:lineRule="auto"/>
        <w:ind w:left="1418" w:hanging="879"/>
        <w:contextualSpacing/>
        <w:jc w:val="both"/>
        <w:rPr>
          <w:rFonts w:ascii="Bookman Old Style" w:hAnsi="Bookman Old Style" w:cs="Arial" w:eastAsiaTheme="minorHAnsi"/>
          <w:sz w:val="24"/>
          <w:szCs w:val="24"/>
          <w:lang w:val="en-GB"/>
        </w:rPr>
      </w:pPr>
      <w:r>
        <w:rPr>
          <w:rFonts w:ascii="Bookman Old Style" w:hAnsi="Bookman Old Style" w:cs="Arial"/>
          <w:sz w:val="24"/>
          <w:szCs w:val="24"/>
          <w:lang w:val="en-GB"/>
        </w:rPr>
        <w:t>BAB III</w:t>
      </w:r>
      <w:r>
        <w:rPr>
          <w:rFonts w:ascii="Bookman Old Style" w:hAnsi="Bookman Old Style" w:cs="Arial"/>
          <w:sz w:val="24"/>
          <w:szCs w:val="24"/>
          <w:lang w:val="en-GB"/>
        </w:rPr>
        <w:tab/>
      </w:r>
      <w:r>
        <w:rPr>
          <w:rFonts w:ascii="Bookman Old Style" w:hAnsi="Bookman Old Style" w:eastAsia="Times New Roman" w:cs="Arial"/>
          <w:sz w:val="24"/>
          <w:szCs w:val="24"/>
        </w:rPr>
        <w:t>TUJUAN</w:t>
      </w:r>
      <w:r>
        <w:rPr>
          <w:rFonts w:ascii="Bookman Old Style" w:hAnsi="Bookman Old Style" w:cs="Arial"/>
          <w:sz w:val="24"/>
          <w:szCs w:val="24"/>
          <w:lang w:val="en-GB"/>
        </w:rPr>
        <w:t xml:space="preserve"> DAN SASARAN BADAN PENDAPATAN DAERAH</w:t>
      </w:r>
    </w:p>
    <w:p>
      <w:pPr>
        <w:pStyle w:val="15"/>
        <w:numPr>
          <w:ilvl w:val="1"/>
          <w:numId w:val="6"/>
        </w:numPr>
        <w:spacing w:line="360" w:lineRule="auto"/>
        <w:ind w:left="1980" w:hanging="567"/>
        <w:jc w:val="both"/>
        <w:rPr>
          <w:rFonts w:ascii="Bookman Old Style" w:hAnsi="Bookman Old Style" w:cs="Arial"/>
          <w:sz w:val="24"/>
          <w:szCs w:val="24"/>
          <w:lang w:val="en-GB"/>
        </w:rPr>
      </w:pPr>
      <w:r>
        <w:rPr>
          <w:rFonts w:ascii="Bookman Old Style" w:hAnsi="Bookman Old Style" w:cs="Arial"/>
          <w:sz w:val="24"/>
          <w:szCs w:val="24"/>
          <w:lang w:val="en-GB"/>
        </w:rPr>
        <w:t>Telaahan terhadap Kebijakan Nasional</w:t>
      </w:r>
    </w:p>
    <w:p>
      <w:pPr>
        <w:pStyle w:val="15"/>
        <w:numPr>
          <w:ilvl w:val="1"/>
          <w:numId w:val="6"/>
        </w:numPr>
        <w:spacing w:line="360" w:lineRule="auto"/>
        <w:ind w:left="1980" w:hanging="567"/>
        <w:rPr>
          <w:rFonts w:ascii="Bookman Old Style" w:hAnsi="Bookman Old Style" w:cs="Arial"/>
          <w:sz w:val="24"/>
          <w:szCs w:val="24"/>
          <w:lang w:val="en-GB"/>
        </w:rPr>
      </w:pPr>
      <w:r>
        <w:rPr>
          <w:rFonts w:ascii="Bookman Old Style" w:hAnsi="Bookman Old Style" w:cs="Arial"/>
          <w:sz w:val="24"/>
          <w:szCs w:val="24"/>
          <w:lang w:val="en-GB"/>
        </w:rPr>
        <w:t>Tujuan dan Sasaran Badan Pendapatan Daerah</w:t>
      </w:r>
    </w:p>
    <w:p>
      <w:pPr>
        <w:pStyle w:val="15"/>
        <w:numPr>
          <w:ilvl w:val="1"/>
          <w:numId w:val="6"/>
        </w:numPr>
        <w:spacing w:line="360" w:lineRule="auto"/>
        <w:ind w:left="1980" w:hanging="567"/>
        <w:rPr>
          <w:rFonts w:ascii="Bookman Old Style" w:hAnsi="Bookman Old Style" w:cs="Arial"/>
          <w:sz w:val="24"/>
          <w:szCs w:val="24"/>
          <w:lang w:val="en-GB"/>
        </w:rPr>
      </w:pPr>
      <w:r>
        <w:rPr>
          <w:rFonts w:ascii="Bookman Old Style" w:hAnsi="Bookman Old Style" w:cs="Arial"/>
          <w:sz w:val="24"/>
          <w:szCs w:val="24"/>
          <w:lang w:val="en-GB"/>
        </w:rPr>
        <w:t>Program dan Kegiatan</w:t>
      </w:r>
    </w:p>
    <w:p>
      <w:pPr>
        <w:widowControl w:val="0"/>
        <w:spacing w:after="0" w:line="312" w:lineRule="auto"/>
        <w:ind w:left="1418" w:hanging="879"/>
        <w:contextualSpacing/>
        <w:jc w:val="both"/>
        <w:rPr>
          <w:rFonts w:ascii="Bookman Old Style" w:hAnsi="Bookman Old Style" w:cs="Arial"/>
          <w:sz w:val="24"/>
          <w:szCs w:val="24"/>
          <w:lang w:val="en-GB"/>
        </w:rPr>
      </w:pPr>
      <w:r>
        <w:rPr>
          <w:rFonts w:ascii="Bookman Old Style" w:hAnsi="Bookman Old Style" w:cs="Arial"/>
          <w:sz w:val="24"/>
          <w:szCs w:val="24"/>
          <w:lang w:val="en-GB"/>
        </w:rPr>
        <w:t>BAB IV</w:t>
      </w:r>
      <w:r>
        <w:rPr>
          <w:rFonts w:ascii="Bookman Old Style" w:hAnsi="Bookman Old Style" w:cs="Arial"/>
          <w:sz w:val="24"/>
          <w:szCs w:val="24"/>
          <w:lang w:val="en-GB"/>
        </w:rPr>
        <w:tab/>
      </w:r>
      <w:r>
        <w:rPr>
          <w:rFonts w:ascii="Bookman Old Style" w:hAnsi="Bookman Old Style" w:eastAsia="Times New Roman" w:cs="Arial"/>
          <w:sz w:val="24"/>
          <w:szCs w:val="24"/>
        </w:rPr>
        <w:t>RENCANA</w:t>
      </w:r>
      <w:r>
        <w:rPr>
          <w:rFonts w:ascii="Bookman Old Style" w:hAnsi="Bookman Old Style" w:cs="Arial"/>
          <w:sz w:val="24"/>
          <w:szCs w:val="24"/>
          <w:lang w:val="en-GB"/>
        </w:rPr>
        <w:t xml:space="preserve"> KERJA PENDANAAN BADAN PENDAPATAN DAERAH</w:t>
      </w:r>
    </w:p>
    <w:p>
      <w:pPr>
        <w:widowControl w:val="0"/>
        <w:spacing w:after="0" w:line="312" w:lineRule="auto"/>
        <w:ind w:left="1418" w:hanging="879"/>
        <w:contextualSpacing/>
        <w:jc w:val="both"/>
        <w:rPr>
          <w:rFonts w:ascii="Bookman Old Style" w:hAnsi="Bookman Old Style" w:cs="Arial"/>
          <w:sz w:val="24"/>
          <w:szCs w:val="24"/>
          <w:lang w:val="en-GB"/>
        </w:rPr>
      </w:pPr>
      <w:r>
        <w:rPr>
          <w:rFonts w:ascii="Bookman Old Style" w:hAnsi="Bookman Old Style" w:cs="Arial"/>
          <w:sz w:val="24"/>
          <w:szCs w:val="24"/>
          <w:lang w:val="en-GB"/>
        </w:rPr>
        <w:t>BAB V</w:t>
      </w:r>
      <w:r>
        <w:rPr>
          <w:rFonts w:ascii="Bookman Old Style" w:hAnsi="Bookman Old Style" w:cs="Arial"/>
          <w:sz w:val="24"/>
          <w:szCs w:val="24"/>
          <w:lang w:val="en-GB"/>
        </w:rPr>
        <w:tab/>
      </w:r>
      <w:r>
        <w:rPr>
          <w:rFonts w:ascii="Bookman Old Style" w:hAnsi="Bookman Old Style" w:eastAsia="Times New Roman" w:cs="Arial"/>
          <w:sz w:val="24"/>
          <w:szCs w:val="24"/>
        </w:rPr>
        <w:t>PENUTUP</w:t>
      </w:r>
      <w:r>
        <w:rPr>
          <w:rFonts w:ascii="Bookman Old Style" w:hAnsi="Bookman Old Style" w:cs="Arial"/>
          <w:b/>
          <w:sz w:val="24"/>
          <w:szCs w:val="24"/>
          <w:lang w:val="en-GB"/>
        </w:rPr>
        <w:br w:type="page"/>
      </w:r>
    </w:p>
    <w:p>
      <w:pPr>
        <w:pStyle w:val="15"/>
        <w:spacing w:line="360" w:lineRule="auto"/>
        <w:jc w:val="center"/>
        <w:rPr>
          <w:rFonts w:ascii="Bookman Old Style" w:hAnsi="Bookman Old Style" w:cs="Arial"/>
          <w:b/>
          <w:sz w:val="24"/>
          <w:szCs w:val="24"/>
          <w:lang w:val="en-GB"/>
        </w:rPr>
      </w:pPr>
      <w:r>
        <w:rPr>
          <w:rFonts w:ascii="Bookman Old Style" w:hAnsi="Bookman Old Style" w:cs="Arial"/>
          <w:b/>
          <w:sz w:val="24"/>
          <w:szCs w:val="24"/>
          <w:lang w:val="en-US"/>
        </w:rPr>
        <mc:AlternateContent>
          <mc:Choice Requires="wps">
            <w:drawing>
              <wp:anchor distT="0" distB="0" distL="114300" distR="114300" simplePos="0" relativeHeight="251658240" behindDoc="0" locked="0" layoutInCell="1" allowOverlap="1">
                <wp:simplePos x="0" y="0"/>
                <wp:positionH relativeFrom="column">
                  <wp:posOffset>2808605</wp:posOffset>
                </wp:positionH>
                <wp:positionV relativeFrom="paragraph">
                  <wp:posOffset>-396875</wp:posOffset>
                </wp:positionV>
                <wp:extent cx="475615" cy="182880"/>
                <wp:effectExtent l="8255" t="12700" r="11430" b="13970"/>
                <wp:wrapNone/>
                <wp:docPr id="1" name="Rectangle 2"/>
                <wp:cNvGraphicFramePr/>
                <a:graphic xmlns:a="http://schemas.openxmlformats.org/drawingml/2006/main">
                  <a:graphicData uri="http://schemas.microsoft.com/office/word/2010/wordprocessingShape">
                    <wps:wsp>
                      <wps:cNvSpPr>
                        <a:spLocks noChangeArrowheads="1"/>
                      </wps:cNvSpPr>
                      <wps:spPr bwMode="auto">
                        <a:xfrm>
                          <a:off x="0" y="0"/>
                          <a:ext cx="475615" cy="182880"/>
                        </a:xfrm>
                        <a:prstGeom prst="rect">
                          <a:avLst/>
                        </a:prstGeom>
                        <a:solidFill>
                          <a:srgbClr val="FFFFFF"/>
                        </a:solidFill>
                        <a:ln w="9525">
                          <a:solidFill>
                            <a:schemeClr val="bg1">
                              <a:lumMod val="100000"/>
                              <a:lumOff val="0"/>
                            </a:schemeClr>
                          </a:solidFill>
                          <a:miter lim="800000"/>
                        </a:ln>
                      </wps:spPr>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21.15pt;margin-top:-31.25pt;height:14.4pt;width:37.45pt;z-index:251658240;mso-width-relative:page;mso-height-relative:page;" fillcolor="#FFFFFF" filled="t" stroked="t" coordsize="21600,21600" o:gfxdata="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zOcP9kAAAALAQAADwAAAAAAAAABACAAAAAiAAAAZHJzL2Rvd25yZXYueG1sUEsBAhQAFAAAAAgA&#10;h07iQKFLQNwkAgAAWQQAAA4AAAAAAAAAAQAgAAAAKAEAAGRycy9lMm9Eb2MueG1sUEsFBgAAAAAG&#10;AAYAWQEAAL4FAAAAAA==&#10;">
                <v:fill on="t" focussize="0,0"/>
                <v:stroke color="#FFFFFF [3228]" miterlimit="8" joinstyle="miter"/>
                <v:imagedata o:title=""/>
                <o:lock v:ext="edit" aspectratio="f"/>
              </v:rect>
            </w:pict>
          </mc:Fallback>
        </mc:AlternateContent>
      </w:r>
      <w:r>
        <w:rPr>
          <w:rFonts w:ascii="Bookman Old Style" w:hAnsi="Bookman Old Style" w:cs="Arial"/>
          <w:b/>
          <w:sz w:val="24"/>
          <w:szCs w:val="24"/>
          <w:lang w:val="en-GB"/>
        </w:rPr>
        <w:t>BAB II</w:t>
      </w:r>
    </w:p>
    <w:p>
      <w:pPr>
        <w:pStyle w:val="15"/>
        <w:spacing w:line="360" w:lineRule="auto"/>
        <w:jc w:val="center"/>
        <w:rPr>
          <w:rFonts w:ascii="Bookman Old Style" w:hAnsi="Bookman Old Style" w:cs="Arial"/>
          <w:b/>
          <w:sz w:val="24"/>
          <w:szCs w:val="24"/>
        </w:rPr>
      </w:pPr>
      <w:r>
        <w:rPr>
          <w:rFonts w:ascii="Bookman Old Style" w:hAnsi="Bookman Old Style" w:cs="Arial"/>
          <w:b/>
          <w:sz w:val="24"/>
          <w:szCs w:val="24"/>
          <w:lang w:val="en-GB"/>
        </w:rPr>
        <w:t xml:space="preserve">EVALUASI PELAKSANAAN RENCANA KERJA </w:t>
      </w:r>
    </w:p>
    <w:p>
      <w:pPr>
        <w:pStyle w:val="15"/>
        <w:spacing w:line="360" w:lineRule="auto"/>
        <w:jc w:val="center"/>
        <w:rPr>
          <w:rFonts w:ascii="Bookman Old Style" w:hAnsi="Bookman Old Style" w:cs="Arial"/>
          <w:b/>
          <w:sz w:val="24"/>
          <w:szCs w:val="24"/>
          <w:lang w:val="en-GB"/>
        </w:rPr>
      </w:pPr>
      <w:r>
        <w:rPr>
          <w:rFonts w:ascii="Bookman Old Style" w:hAnsi="Bookman Old Style" w:cs="Arial"/>
          <w:b/>
          <w:sz w:val="24"/>
          <w:szCs w:val="24"/>
          <w:lang w:val="en-GB"/>
        </w:rPr>
        <w:t>BADAN PENDAPATAN DAERAH TAHUN 2018</w:t>
      </w:r>
    </w:p>
    <w:p>
      <w:pPr>
        <w:pStyle w:val="15"/>
        <w:spacing w:line="360" w:lineRule="auto"/>
        <w:rPr>
          <w:rFonts w:ascii="Bookman Old Style" w:hAnsi="Bookman Old Style" w:cs="Arial"/>
          <w:sz w:val="24"/>
          <w:szCs w:val="24"/>
          <w:lang w:val="en-GB"/>
        </w:rPr>
      </w:pPr>
    </w:p>
    <w:p>
      <w:pPr>
        <w:pStyle w:val="15"/>
        <w:spacing w:line="360" w:lineRule="auto"/>
        <w:ind w:left="540" w:hanging="540"/>
        <w:jc w:val="both"/>
        <w:rPr>
          <w:rFonts w:ascii="Bookman Old Style" w:hAnsi="Bookman Old Style" w:cs="Arial"/>
          <w:b/>
          <w:sz w:val="24"/>
          <w:szCs w:val="24"/>
          <w:lang w:val="en-GB"/>
        </w:rPr>
      </w:pPr>
      <w:r>
        <w:rPr>
          <w:rFonts w:ascii="Bookman Old Style" w:hAnsi="Bookman Old Style" w:cs="Arial"/>
          <w:b/>
          <w:sz w:val="24"/>
          <w:szCs w:val="24"/>
          <w:lang w:val="en-GB"/>
        </w:rPr>
        <w:t>2.1.</w:t>
      </w:r>
      <w:r>
        <w:rPr>
          <w:rFonts w:ascii="Bookman Old Style" w:hAnsi="Bookman Old Style" w:cs="Arial"/>
          <w:b/>
          <w:sz w:val="24"/>
          <w:szCs w:val="24"/>
          <w:lang w:val="en-GB"/>
        </w:rPr>
        <w:tab/>
      </w:r>
      <w:r>
        <w:rPr>
          <w:rFonts w:ascii="Bookman Old Style" w:hAnsi="Bookman Old Style" w:cs="Arial"/>
          <w:b/>
          <w:sz w:val="24"/>
          <w:szCs w:val="24"/>
          <w:lang w:val="en-GB"/>
        </w:rPr>
        <w:t>Evaluasi Pelaksanaan Renja Tahun Lalu dan Capaian Renstra Badan Pendapatan Daerah</w:t>
      </w:r>
    </w:p>
    <w:p>
      <w:pPr>
        <w:pStyle w:val="15"/>
        <w:spacing w:line="360" w:lineRule="auto"/>
        <w:ind w:left="567" w:firstLine="567"/>
        <w:jc w:val="both"/>
        <w:rPr>
          <w:rFonts w:ascii="Bookman Old Style" w:hAnsi="Bookman Old Style" w:cs="Arial"/>
          <w:sz w:val="24"/>
          <w:szCs w:val="24"/>
          <w:lang w:val="en-US"/>
        </w:rPr>
      </w:pPr>
      <w:r>
        <w:rPr>
          <w:rFonts w:ascii="Bookman Old Style" w:hAnsi="Bookman Old Style" w:cs="Arial"/>
          <w:sz w:val="24"/>
          <w:szCs w:val="24"/>
          <w:lang w:val="en-US"/>
        </w:rPr>
        <w:t xml:space="preserve">Evaluasi pelaksanaan Rencana Kerja Badan Pendapatan Daerah Tahun lalu. Pada dasarnya Tahun 2018 merupakan tahun yang bisa dikatakan sangat mendukung terlaksanakanya program serta kegiatan secara baik dan terstruktur. Pada Tahun 2018 ini beberapa inovasi terkait aplikasi Pembayaran Pajak Daerah mulai di kembangkan serta dilakukan sosialisasi dan uji coba langsung terhadap masyarakat. Salah satu contoh aplikasi yang mulai di kembangkan pada tahun 2018 ini adalah aplikasi SIPANJI ( Sistem Penerimaan Pajak Mandiri) yang di rintis oleh Bidang Pajak Daerah dan Retribusi Daerah ( PDRD), aplikasi ini meliputi aplikasi Pembayarandan Pendaftaran Pajak Daerah secara online. Namun tentunya dalam pelaksanaan aplikasi ini masih diperlukan banyak evaluasi. </w:t>
      </w:r>
    </w:p>
    <w:p>
      <w:pPr>
        <w:pStyle w:val="15"/>
        <w:spacing w:line="360" w:lineRule="auto"/>
        <w:ind w:left="567" w:firstLine="567"/>
        <w:jc w:val="both"/>
        <w:rPr>
          <w:rFonts w:ascii="Bookman Old Style" w:hAnsi="Bookman Old Style" w:cs="Arial"/>
          <w:sz w:val="24"/>
          <w:szCs w:val="24"/>
          <w:lang w:val="fi-FI"/>
        </w:rPr>
      </w:pPr>
      <w:r>
        <w:rPr>
          <w:rFonts w:ascii="Bookman Old Style" w:hAnsi="Bookman Old Style" w:cs="Arial"/>
          <w:sz w:val="24"/>
          <w:szCs w:val="24"/>
        </w:rPr>
        <w:t>Sebelum dilaksanakan evaluasi, dilakukan</w:t>
      </w:r>
      <w:r>
        <w:rPr>
          <w:rFonts w:ascii="Bookman Old Style" w:hAnsi="Bookman Old Style" w:cs="Arial"/>
          <w:sz w:val="24"/>
          <w:szCs w:val="24"/>
          <w:lang w:val="en-US"/>
        </w:rPr>
        <w:t xml:space="preserve"> </w:t>
      </w:r>
      <w:r>
        <w:rPr>
          <w:rFonts w:ascii="Bookman Old Style" w:hAnsi="Bookman Old Style" w:cs="Arial"/>
          <w:color w:val="000000"/>
          <w:sz w:val="24"/>
          <w:szCs w:val="24"/>
        </w:rPr>
        <w:t>pengukuran kinerja kemudian dilanjutkan evaluasi serta pengungkapan (disclosure) secara memadai hasil analisis terhadap pengukuran kinerja.</w:t>
      </w:r>
      <w:r>
        <w:rPr>
          <w:rFonts w:ascii="Bookman Old Style" w:hAnsi="Bookman Old Style" w:cs="Arial"/>
          <w:sz w:val="24"/>
          <w:szCs w:val="24"/>
        </w:rPr>
        <w:t>Analisis ataskendala atau permasalahan yang terjadi untuk dicarikan solusi dan pemecahannya sehingga tujuan dan target kegiatan dapat tercapai secara optimal sesuai dengan yang ditetapkan.</w:t>
      </w:r>
      <w:r>
        <w:rPr>
          <w:rFonts w:ascii="Bookman Old Style" w:hAnsi="Bookman Old Style" w:cs="Arial"/>
          <w:sz w:val="24"/>
          <w:szCs w:val="24"/>
          <w:lang w:val="fi-FI"/>
        </w:rPr>
        <w:t xml:space="preserve">Faktor-faktor penyebab terpenuhi dan tidak terpenuhi target kinerja program atau kegiatan, implikasi yang timbul terhadap target capaian dan kebijakan atau tindakan perencanaan dan penganggaran yang perlu diambil untuk mengatasi faktor–faktor penyebab, </w:t>
      </w:r>
      <w:r>
        <w:rPr>
          <w:rFonts w:ascii="Bookman Old Style" w:hAnsi="Bookman Old Style" w:cs="Arial"/>
          <w:sz w:val="24"/>
          <w:szCs w:val="24"/>
        </w:rPr>
        <w:t xml:space="preserve">merupakan penjelasan dari capaian kinerja pada </w:t>
      </w:r>
      <w:r>
        <w:rPr>
          <w:rFonts w:ascii="Bookman Old Style" w:hAnsi="Bookman Old Style" w:cs="Arial"/>
          <w:b/>
          <w:sz w:val="24"/>
          <w:szCs w:val="24"/>
          <w:lang w:val="fi-FI"/>
        </w:rPr>
        <w:t>tabel</w:t>
      </w:r>
      <w:r>
        <w:rPr>
          <w:rFonts w:ascii="Bookman Old Style" w:hAnsi="Bookman Old Style" w:cs="Arial"/>
          <w:b/>
          <w:sz w:val="24"/>
          <w:szCs w:val="24"/>
          <w:lang w:val="en-AU"/>
        </w:rPr>
        <w:t xml:space="preserve"> 2.1 </w:t>
      </w:r>
      <w:r>
        <w:rPr>
          <w:rFonts w:ascii="Bookman Old Style" w:hAnsi="Bookman Old Style" w:cs="Arial"/>
          <w:sz w:val="24"/>
          <w:szCs w:val="24"/>
          <w:lang w:val="fi-FI"/>
        </w:rPr>
        <w:t>berikut ini:</w:t>
      </w:r>
    </w:p>
    <w:p>
      <w:pPr>
        <w:pStyle w:val="15"/>
        <w:spacing w:line="360" w:lineRule="auto"/>
        <w:jc w:val="both"/>
        <w:rPr>
          <w:rFonts w:ascii="Bookman Old Style" w:hAnsi="Bookman Old Style" w:cs="Arial"/>
          <w:sz w:val="24"/>
          <w:szCs w:val="24"/>
          <w:lang w:val="fi-FI"/>
        </w:rPr>
      </w:pPr>
    </w:p>
    <w:p>
      <w:pPr>
        <w:rPr>
          <w:rFonts w:ascii="Bookman Old Style" w:hAnsi="Bookman Old Style" w:cs="Arial"/>
          <w:sz w:val="24"/>
          <w:szCs w:val="24"/>
          <w:lang w:val="fi-FI"/>
        </w:rPr>
      </w:pPr>
      <w:r>
        <w:rPr>
          <w:rFonts w:ascii="Bookman Old Style" w:hAnsi="Bookman Old Style" w:cs="Arial"/>
          <w:sz w:val="24"/>
          <w:szCs w:val="24"/>
          <w:lang w:val="fi-FI"/>
        </w:rPr>
        <w:br w:type="page"/>
      </w:r>
    </w:p>
    <w:p>
      <w:pPr>
        <w:spacing w:after="0" w:line="240" w:lineRule="auto"/>
        <w:jc w:val="center"/>
        <w:rPr>
          <w:rFonts w:ascii="Bookman Old Style" w:hAnsi="Bookman Old Style" w:eastAsia="Times New Roman" w:cs="Calibri"/>
          <w:b/>
          <w:bCs/>
          <w:color w:val="000000"/>
          <w:sz w:val="24"/>
          <w:szCs w:val="24"/>
        </w:rPr>
        <w:sectPr>
          <w:headerReference r:id="rId4" w:type="first"/>
          <w:footerReference r:id="rId6" w:type="first"/>
          <w:headerReference r:id="rId3" w:type="default"/>
          <w:footerReference r:id="rId5" w:type="default"/>
          <w:pgSz w:w="12191" w:h="18711"/>
          <w:pgMar w:top="1259" w:right="1418" w:bottom="1418" w:left="1418" w:header="578" w:footer="846" w:gutter="0"/>
          <w:cols w:space="708" w:num="1"/>
          <w:titlePg/>
          <w:docGrid w:linePitch="360" w:charSpace="0"/>
        </w:sectPr>
      </w:pPr>
    </w:p>
    <w:tbl>
      <w:tblPr>
        <w:tblStyle w:val="12"/>
        <w:tblW w:w="17695" w:type="dxa"/>
        <w:tblInd w:w="145" w:type="dxa"/>
        <w:tblLayout w:type="fixed"/>
        <w:tblCellMar>
          <w:top w:w="0" w:type="dxa"/>
          <w:left w:w="108" w:type="dxa"/>
          <w:bottom w:w="0" w:type="dxa"/>
          <w:right w:w="108" w:type="dxa"/>
        </w:tblCellMar>
      </w:tblPr>
      <w:tblGrid>
        <w:gridCol w:w="353"/>
        <w:gridCol w:w="287"/>
        <w:gridCol w:w="365"/>
        <w:gridCol w:w="365"/>
        <w:gridCol w:w="2220"/>
        <w:gridCol w:w="2245"/>
        <w:gridCol w:w="1435"/>
        <w:gridCol w:w="1530"/>
        <w:gridCol w:w="1220"/>
        <w:gridCol w:w="1155"/>
        <w:gridCol w:w="1265"/>
        <w:gridCol w:w="1145"/>
        <w:gridCol w:w="1285"/>
        <w:gridCol w:w="1305"/>
        <w:gridCol w:w="1520"/>
      </w:tblGrid>
      <w:tr>
        <w:tblPrEx>
          <w:tblCellMar>
            <w:top w:w="0" w:type="dxa"/>
            <w:left w:w="108" w:type="dxa"/>
            <w:bottom w:w="0" w:type="dxa"/>
            <w:right w:w="108" w:type="dxa"/>
          </w:tblCellMar>
        </w:tblPrEx>
        <w:trPr>
          <w:trHeight w:val="405" w:hRule="atLeast"/>
        </w:trPr>
        <w:tc>
          <w:tcPr>
            <w:tcW w:w="17695" w:type="dxa"/>
            <w:gridSpan w:val="15"/>
            <w:tcBorders>
              <w:top w:val="single" w:color="auto" w:sz="4" w:space="0"/>
              <w:left w:val="single" w:color="auto" w:sz="4" w:space="0"/>
              <w:bottom w:val="nil"/>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p>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Tabel 2.1</w:t>
            </w:r>
          </w:p>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Rekapitulasi Hasil Evaluasi Hasil Pelaksanaan Renja Perangkat Daerah dan Pencapaian Renstra PD s/d Tahun 2019</w:t>
            </w:r>
          </w:p>
        </w:tc>
      </w:tr>
      <w:tr>
        <w:tblPrEx>
          <w:tblCellMar>
            <w:top w:w="0" w:type="dxa"/>
            <w:left w:w="108" w:type="dxa"/>
            <w:bottom w:w="0" w:type="dxa"/>
            <w:right w:w="108" w:type="dxa"/>
          </w:tblCellMar>
        </w:tblPrEx>
        <w:trPr>
          <w:trHeight w:val="405" w:hRule="atLeast"/>
        </w:trPr>
        <w:tc>
          <w:tcPr>
            <w:tcW w:w="17695" w:type="dxa"/>
            <w:gridSpan w:val="15"/>
            <w:tcBorders>
              <w:top w:val="nil"/>
              <w:left w:val="single" w:color="auto" w:sz="4" w:space="0"/>
              <w:bottom w:val="nil"/>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 Kabupaten Malang</w:t>
            </w:r>
          </w:p>
        </w:tc>
      </w:tr>
      <w:tr>
        <w:tblPrEx>
          <w:tblCellMar>
            <w:top w:w="0" w:type="dxa"/>
            <w:left w:w="108" w:type="dxa"/>
            <w:bottom w:w="0" w:type="dxa"/>
            <w:right w:w="108" w:type="dxa"/>
          </w:tblCellMar>
        </w:tblPrEx>
        <w:trPr>
          <w:trHeight w:val="500" w:hRule="atLeast"/>
        </w:trPr>
        <w:tc>
          <w:tcPr>
            <w:tcW w:w="353" w:type="dxa"/>
            <w:tcBorders>
              <w:top w:val="nil"/>
              <w:left w:val="single" w:color="auto" w:sz="4" w:space="0"/>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p>
        </w:tc>
        <w:tc>
          <w:tcPr>
            <w:tcW w:w="287" w:type="dxa"/>
            <w:tcBorders>
              <w:top w:val="nil"/>
              <w:left w:val="nil"/>
              <w:bottom w:val="nil"/>
              <w:right w:val="nil"/>
            </w:tcBorders>
            <w:shd w:val="clear" w:color="auto" w:fill="auto"/>
            <w:noWrap/>
            <w:vAlign w:val="center"/>
          </w:tcPr>
          <w:p>
            <w:pPr>
              <w:spacing w:after="0" w:line="240" w:lineRule="auto"/>
              <w:rPr>
                <w:rFonts w:ascii="Times New Roman" w:hAnsi="Times New Roman" w:eastAsia="Times New Roman"/>
                <w:sz w:val="18"/>
                <w:szCs w:val="18"/>
              </w:rPr>
            </w:pPr>
          </w:p>
        </w:tc>
        <w:tc>
          <w:tcPr>
            <w:tcW w:w="365" w:type="dxa"/>
            <w:tcBorders>
              <w:top w:val="nil"/>
              <w:left w:val="nil"/>
              <w:bottom w:val="nil"/>
              <w:right w:val="nil"/>
            </w:tcBorders>
            <w:shd w:val="clear" w:color="auto" w:fill="auto"/>
            <w:noWrap/>
            <w:vAlign w:val="center"/>
          </w:tcPr>
          <w:p>
            <w:pPr>
              <w:spacing w:after="0" w:line="240" w:lineRule="auto"/>
              <w:rPr>
                <w:rFonts w:ascii="Times New Roman" w:hAnsi="Times New Roman" w:eastAsia="Times New Roman"/>
                <w:sz w:val="18"/>
                <w:szCs w:val="18"/>
              </w:rPr>
            </w:pPr>
          </w:p>
        </w:tc>
        <w:tc>
          <w:tcPr>
            <w:tcW w:w="365"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2220"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2245"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1435" w:type="dxa"/>
            <w:tcBorders>
              <w:top w:val="nil"/>
              <w:left w:val="nil"/>
              <w:bottom w:val="nil"/>
              <w:right w:val="nil"/>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530" w:type="dxa"/>
            <w:tcBorders>
              <w:top w:val="nil"/>
              <w:left w:val="nil"/>
              <w:bottom w:val="nil"/>
              <w:right w:val="nil"/>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20" w:type="dxa"/>
            <w:tcBorders>
              <w:top w:val="nil"/>
              <w:left w:val="nil"/>
              <w:bottom w:val="nil"/>
              <w:right w:val="nil"/>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155" w:type="dxa"/>
            <w:tcBorders>
              <w:top w:val="nil"/>
              <w:left w:val="nil"/>
              <w:bottom w:val="nil"/>
              <w:right w:val="nil"/>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nil"/>
              <w:left w:val="nil"/>
              <w:bottom w:val="nil"/>
              <w:right w:val="nil"/>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145" w:type="dxa"/>
            <w:tcBorders>
              <w:top w:val="nil"/>
              <w:left w:val="nil"/>
              <w:bottom w:val="nil"/>
              <w:right w:val="nil"/>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85" w:type="dxa"/>
            <w:tcBorders>
              <w:top w:val="nil"/>
              <w:left w:val="nil"/>
              <w:bottom w:val="nil"/>
              <w:right w:val="nil"/>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305" w:type="dxa"/>
            <w:tcBorders>
              <w:top w:val="nil"/>
              <w:left w:val="nil"/>
              <w:bottom w:val="nil"/>
              <w:right w:val="nil"/>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520"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1470" w:hRule="atLeast"/>
        </w:trPr>
        <w:tc>
          <w:tcPr>
            <w:tcW w:w="1370" w:type="dxa"/>
            <w:gridSpan w:val="4"/>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Kode</w:t>
            </w:r>
          </w:p>
        </w:tc>
        <w:tc>
          <w:tcPr>
            <w:tcW w:w="2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Urusan / Bidang Urusan Pemerintahan Daerah &amp; Program / Kegiatan </w:t>
            </w:r>
          </w:p>
        </w:tc>
        <w:tc>
          <w:tcPr>
            <w:tcW w:w="224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Indikator Kinerja Program (outcomes)/ Kegiatan (output)</w:t>
            </w:r>
          </w:p>
        </w:tc>
        <w:tc>
          <w:tcPr>
            <w:tcW w:w="143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Target Kinerja Capaian Program (Renstra Perangkat Daerah) s/d Tahun 2021</w:t>
            </w:r>
          </w:p>
        </w:tc>
        <w:tc>
          <w:tcPr>
            <w:tcW w:w="153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Realisasi Target Kinerja Hasil Program dan Keluaran Kegiatan s/d Tahun 2017</w:t>
            </w:r>
          </w:p>
        </w:tc>
        <w:tc>
          <w:tcPr>
            <w:tcW w:w="4785" w:type="dxa"/>
            <w:gridSpan w:val="4"/>
            <w:tcBorders>
              <w:top w:val="single" w:color="auto" w:sz="4" w:space="0"/>
              <w:left w:val="single" w:color="auto" w:sz="4" w:space="0"/>
              <w:bottom w:val="nil"/>
              <w:right w:val="nil"/>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Target dan Realisasi Kinerja Program dan Kegiatan Tahun Lalu</w:t>
            </w:r>
          </w:p>
        </w:tc>
        <w:tc>
          <w:tcPr>
            <w:tcW w:w="1285"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Target Program dan Kegiatan (Renja Perangkat Daerah Tahun 2019)</w:t>
            </w:r>
          </w:p>
        </w:tc>
        <w:tc>
          <w:tcPr>
            <w:tcW w:w="2825" w:type="dxa"/>
            <w:gridSpan w:val="2"/>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Perkiraan Realisasi Capaian Target Renstra Perangkat Daerah s/d Tahun 2019</w:t>
            </w:r>
          </w:p>
        </w:tc>
      </w:tr>
      <w:tr>
        <w:tblPrEx>
          <w:tblCellMar>
            <w:top w:w="0" w:type="dxa"/>
            <w:left w:w="108" w:type="dxa"/>
            <w:bottom w:w="0" w:type="dxa"/>
            <w:right w:w="108" w:type="dxa"/>
          </w:tblCellMar>
        </w:tblPrEx>
        <w:trPr>
          <w:trHeight w:val="1935" w:hRule="atLeast"/>
        </w:trPr>
        <w:tc>
          <w:tcPr>
            <w:tcW w:w="1370" w:type="dxa"/>
            <w:gridSpan w:val="4"/>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222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2245"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435"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Target Renja Perangkat Daerah Tahun 2018</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Realisasi Kinerja Pada Triwulan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Realisasi Renja Perangkat Daerah Tahun 2018</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Realisasi (%)</w:t>
            </w:r>
          </w:p>
        </w:tc>
        <w:tc>
          <w:tcPr>
            <w:tcW w:w="1285" w:type="dxa"/>
            <w:vMerge w:val="continue"/>
            <w:tcBorders>
              <w:top w:val="single" w:color="auto" w:sz="4" w:space="0"/>
              <w:left w:val="single" w:color="auto" w:sz="4" w:space="0"/>
              <w:bottom w:val="single" w:color="000000"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30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Realisasi Capaian Program dan Kegiatan s/d Tahun berjalan 2019</w:t>
            </w:r>
          </w:p>
        </w:tc>
        <w:tc>
          <w:tcPr>
            <w:tcW w:w="152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Tingkat Capaian Realisasi Target Renstra (%) </w:t>
            </w:r>
          </w:p>
        </w:tc>
      </w:tr>
      <w:tr>
        <w:tblPrEx>
          <w:tblCellMar>
            <w:top w:w="0" w:type="dxa"/>
            <w:left w:w="108" w:type="dxa"/>
            <w:bottom w:w="0" w:type="dxa"/>
            <w:right w:w="108" w:type="dxa"/>
          </w:tblCellMar>
        </w:tblPrEx>
        <w:trPr>
          <w:trHeight w:val="390" w:hRule="atLeast"/>
        </w:trPr>
        <w:tc>
          <w:tcPr>
            <w:tcW w:w="1370"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7</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8</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9</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11</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 Program Pelayanan Administrasi Perkantoran</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Pemenuhan Operasional Perkantoran</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19.97%</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99,88%</w:t>
            </w:r>
          </w:p>
        </w:tc>
        <w:tc>
          <w:tcPr>
            <w:tcW w:w="1285"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30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59.97</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59.97</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220" w:type="dxa"/>
            <w:tcBorders>
              <w:top w:val="nil"/>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Surat Menyurat</w:t>
            </w:r>
          </w:p>
        </w:tc>
        <w:tc>
          <w:tcPr>
            <w:tcW w:w="2245" w:type="dxa"/>
            <w:tcBorders>
              <w:top w:val="nil"/>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registrasi surat masuk dan surat keluar</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55000 buah</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15000 buah</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16000 buah</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 buah</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16000 buah</w:t>
            </w:r>
          </w:p>
        </w:tc>
        <w:tc>
          <w:tcPr>
            <w:tcW w:w="1145"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12000 buah</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43000 buah</w:t>
            </w:r>
          </w:p>
        </w:tc>
        <w:tc>
          <w:tcPr>
            <w:tcW w:w="1520"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78.18</w:t>
            </w:r>
          </w:p>
        </w:tc>
      </w:tr>
      <w:tr>
        <w:tblPrEx>
          <w:tblCellMar>
            <w:top w:w="0" w:type="dxa"/>
            <w:left w:w="108" w:type="dxa"/>
            <w:bottom w:w="0" w:type="dxa"/>
            <w:right w:w="108" w:type="dxa"/>
          </w:tblCellMar>
        </w:tblPrEx>
        <w:trPr>
          <w:trHeight w:val="802" w:hRule="atLeast"/>
        </w:trPr>
        <w:tc>
          <w:tcPr>
            <w:tcW w:w="353"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220" w:type="dxa"/>
            <w:tcBorders>
              <w:top w:val="nil"/>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Komunikasi, Sumber Daya Air dan Listrik</w:t>
            </w:r>
          </w:p>
        </w:tc>
        <w:tc>
          <w:tcPr>
            <w:tcW w:w="2245" w:type="dxa"/>
            <w:tcBorders>
              <w:top w:val="nil"/>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Listrik, Air Minum/Air Bersih, Telekomunikasi dan Internet</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60 bulan</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bulan</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36 bulan</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60.00</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Barang Cetakan dan Penggandaan</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barang cetakan yang disediakan</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500 jenis</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85 jenis</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 jenis</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 jenis</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 jenis</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 jenis</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225 jenis</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45.00</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Makanan dan Minuman</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makanan dan minuman harian Pegawai, Rapat, dan tamu yang disediakan</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21100 HOK</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4000 HOK</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7780 HOK</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HOK</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7780 HOK</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7780 HOK</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19560 HOK</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92.70</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Administrasi Keuangan</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pejabat pengelola administrasi keuangan</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14800 OB</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230 OB</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230 OB</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7630 OB</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51.55</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Rapat-Rapat Kordinasi dan Konsultasi Ke Dalam Daerah</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dalam daerah</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2400 HOK</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150 HOK</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790 HOK</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 HOK</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780 HOK</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98.73</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790 HOK</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1730 HOK</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72.08</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Bahan Logistik Kantor</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logistik kantor yang disediakan</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 jenis</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 jenis</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 jenis</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62 jenis</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24.80</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Alat Tulis Kantor</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alat tulis kantor yang disediakan</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575 jenis</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115 jenis</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73 jenis</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 jenis</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73 jenis</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58 jenis</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246 jenis</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42.78</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Rapat-Rapat Kordinasi dan Konsultasi Ke Luar Daerah</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luar daerah</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520 HOK</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 HOK</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238 HOK</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HOK</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238 HOK</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238 HOK</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576 HOK</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110.77</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Komponen Instalasi Listrik/Penerangan Bangunan Kantor</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komponen alat-alat listrik dan elektronik</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150 jenis</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 jenis</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jenis</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 jenis</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jenis</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jenis</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112 jenis</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74.67</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Bahan Bacaan &amp; Peraturan Perundang - Undangan</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Bacaan dan Peraturan Perundang-Undangan yang disediakan</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 jenis</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jenis</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jenis</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jenis</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18.67</w:t>
            </w:r>
          </w:p>
        </w:tc>
      </w:tr>
      <w:tr>
        <w:tblPrEx>
          <w:tblCellMar>
            <w:top w:w="0" w:type="dxa"/>
            <w:left w:w="108" w:type="dxa"/>
            <w:bottom w:w="0" w:type="dxa"/>
            <w:right w:w="108" w:type="dxa"/>
          </w:tblCellMar>
        </w:tblPrEx>
        <w:trPr>
          <w:trHeight w:val="1060" w:hRule="atLeast"/>
        </w:trPr>
        <w:tc>
          <w:tcPr>
            <w:tcW w:w="35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2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II. Program Peningkatan Sarana dan Prasarana Aparatur</w:t>
            </w:r>
          </w:p>
        </w:tc>
        <w:tc>
          <w:tcPr>
            <w:tcW w:w="22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Pemenuhan Sarana dan Prasarana Penunjang Aparatur</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30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60%</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60.00</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Rutin/Berkala Gedung Kantor</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gedung kantor yang dipelihara Rutin/Berkala</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70 bangunan</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bangunan</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bangunan</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bangunan</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bangunan</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14 jenis </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38 bangunan</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54.29</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Rutin/Berkala Kendaraan Dinas/Operasional</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roda empat dan kendaraan roda dua yang dipelihara rutin dan berkala</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320 unit</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64 unit</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unit</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64 jenis </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301 jenis</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94.06</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Rutin/Berkala Peralatan Gedung Kantor</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 yang dipelihara Rutin/Berkala</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560 jenis</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112 jenis</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jenis</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jenis</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jenis</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47 jenis </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206 jenis</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36.79</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Rutin/Berkala Mebeleur</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Mebeleur yang dipelihara Rutin/Berkala</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 jenis</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jenis</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20 jenis </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60 jenis</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60.00</w:t>
            </w:r>
          </w:p>
        </w:tc>
      </w:tr>
      <w:tr>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Peralatan Gedung Kantor</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 yang diadakan</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 jenis</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jenis</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jenis</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jenis</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20 jenis </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54 jenis</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54.00</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Kendaraan Dinas/Operasional</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dinas/operasional roda 2 yang diadakan</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 unit</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unit</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 unit</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unit</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 unit</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 unit </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56 unit</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98.25</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dinas/operasional roda 4 yang diadakan</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unit</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unit</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unit</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unit</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 unit</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80.00</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Perlengkapan Gedung Kantor</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perlengkapan gedung kantor yang diadakan</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190 jenis</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 jenis</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 jenis</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jenis</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 jenis</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 jenis</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96 jenis</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50.53</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2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III. Program Peningkatan Disiplin Aparatur</w:t>
            </w:r>
          </w:p>
        </w:tc>
        <w:tc>
          <w:tcPr>
            <w:tcW w:w="22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Penunjang Kerja Aparatur</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28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30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60%</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60</w:t>
            </w:r>
          </w:p>
        </w:tc>
      </w:tr>
      <w:tr>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Pakaian Dinas Beserta Perlengkapannya</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dinas beserta perlengkapannya</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1340 stel</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stel</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525 stel</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stel</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525 stel</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100,00</w:t>
            </w:r>
          </w:p>
        </w:tc>
        <w:tc>
          <w:tcPr>
            <w:tcW w:w="128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340 stell</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865 stell</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65</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3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22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Pakaian Khusus Hari - Hari Tertentu</w:t>
            </w:r>
          </w:p>
        </w:tc>
        <w:tc>
          <w:tcPr>
            <w:tcW w:w="224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Olahraga</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1670 stel</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330 stel</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800 stel</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stel</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800 stel</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340 stell </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1470 stell</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88</w:t>
            </w:r>
          </w:p>
        </w:tc>
      </w:tr>
      <w:tr>
        <w:tblPrEx>
          <w:tblCellMar>
            <w:top w:w="0" w:type="dxa"/>
            <w:left w:w="108" w:type="dxa"/>
            <w:bottom w:w="0" w:type="dxa"/>
            <w:right w:w="108" w:type="dxa"/>
          </w:tblCellMar>
        </w:tblPrEx>
        <w:trPr>
          <w:trHeight w:val="1140" w:hRule="atLeast"/>
        </w:trPr>
        <w:tc>
          <w:tcPr>
            <w:tcW w:w="35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2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IV. Program Peningkatan Kapasitas Sumber Daya Aparatur</w:t>
            </w:r>
          </w:p>
        </w:tc>
        <w:tc>
          <w:tcPr>
            <w:tcW w:w="22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Peningkatan Kapasitas Pegawai di Perangkat Daerah</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20.2%</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101</w:t>
            </w:r>
          </w:p>
        </w:tc>
        <w:tc>
          <w:tcPr>
            <w:tcW w:w="128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70.2%</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70.2</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365"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220" w:type="dxa"/>
            <w:tcBorders>
              <w:top w:val="nil"/>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Pendidikan dan Pelatihan Formal</w:t>
            </w:r>
          </w:p>
        </w:tc>
        <w:tc>
          <w:tcPr>
            <w:tcW w:w="2245" w:type="dxa"/>
            <w:tcBorders>
              <w:top w:val="nil"/>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yang mengikuti pelatihan</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400 orang</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 orang</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 orang</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orang</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202 orang</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101</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100 orang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307 orang</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77</w:t>
            </w:r>
          </w:p>
        </w:tc>
      </w:tr>
      <w:tr>
        <w:tblPrEx>
          <w:tblCellMar>
            <w:top w:w="0" w:type="dxa"/>
            <w:left w:w="108" w:type="dxa"/>
            <w:bottom w:w="0" w:type="dxa"/>
            <w:right w:w="108" w:type="dxa"/>
          </w:tblCellMar>
        </w:tblPrEx>
        <w:trPr>
          <w:trHeight w:val="133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V. Program Peningkatan Pengembangan Sistem Pelaporan Capaian Kinerja dan Keuangan</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Dokumen Perencanaan, Laporan Keuangan dan Kinerja Perangkat Daerah yang Tepat Waktu</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15%</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55%</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55</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Laporan Capaian Kinerja dan Ikhtisar Realisasi Kinerja SKPD</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Tahunan (Buku)</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488 dokumen</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110 buku</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dokumen</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206 buku</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42.21</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Laporan Keuangan Semesteran</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semester I dan semester II (Buku)</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472 buku</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 buku</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buku</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108 buku</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22.88</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Pelaporan Keuangan Akhir Tahun</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akhir (Buku)</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162 buku</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buku</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 buku</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9.88</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b/>
                <w:bCs/>
                <w:sz w:val="18"/>
                <w:szCs w:val="18"/>
              </w:rPr>
            </w:pPr>
            <w:r>
              <w:rPr>
                <w:rFonts w:ascii="Bookman Old Style" w:hAnsi="Bookman Old Style" w:eastAsia="Times New Roman" w:cs="Calibri"/>
                <w:b/>
                <w:bCs/>
                <w:sz w:val="18"/>
                <w:szCs w:val="18"/>
              </w:rPr>
              <w:t>VI. Program Pelayanan Penerimaan Pajak BPHTB dan BUMD</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b/>
                <w:bCs/>
                <w:sz w:val="18"/>
                <w:szCs w:val="18"/>
              </w:rPr>
            </w:pPr>
            <w:r>
              <w:rPr>
                <w:rFonts w:ascii="Bookman Old Style" w:hAnsi="Bookman Old Style" w:eastAsia="Times New Roman" w:cs="Calibri"/>
                <w:b/>
                <w:bCs/>
                <w:sz w:val="18"/>
                <w:szCs w:val="18"/>
              </w:rPr>
              <w:t>Pengajuan permohonan Wajib Pajak untuk pembayaran BPHTB yang terlayani dan diteliti</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400%</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33.67%</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150.67</w:t>
            </w:r>
          </w:p>
        </w:tc>
        <w:tc>
          <w:tcPr>
            <w:tcW w:w="1285" w:type="dxa"/>
            <w:tcBorders>
              <w:top w:val="nil"/>
              <w:left w:val="nil"/>
              <w:bottom w:val="nil"/>
              <w:right w:val="nil"/>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58.67%</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58.67</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sz w:val="18"/>
                <w:szCs w:val="18"/>
              </w:rPr>
            </w:pPr>
            <w:r>
              <w:rPr>
                <w:rFonts w:ascii="Bookman Old Style" w:hAnsi="Bookman Old Style" w:eastAsia="Times New Roman" w:cs="Calibri"/>
                <w:sz w:val="18"/>
                <w:szCs w:val="18"/>
              </w:rPr>
              <w:t>Pelayanan dan penelitian BPHTB</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sz w:val="18"/>
                <w:szCs w:val="18"/>
              </w:rPr>
            </w:pPr>
            <w:r>
              <w:rPr>
                <w:rFonts w:ascii="Bookman Old Style" w:hAnsi="Bookman Old Style" w:eastAsia="Times New Roman" w:cs="Calibri"/>
                <w:sz w:val="18"/>
                <w:szCs w:val="18"/>
              </w:rPr>
              <w:t>Presentase pengajuan permohonan wajib pajak untuk pembayaran BPHTB yang terlayani</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98 wajib pajak</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176%</w:t>
            </w:r>
          </w:p>
        </w:tc>
        <w:tc>
          <w:tcPr>
            <w:tcW w:w="1145" w:type="dxa"/>
            <w:tcBorders>
              <w:top w:val="nil"/>
              <w:left w:val="nil"/>
              <w:bottom w:val="nil"/>
              <w:right w:val="nil"/>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176</w:t>
            </w:r>
          </w:p>
        </w:tc>
        <w:tc>
          <w:tcPr>
            <w:tcW w:w="128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30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276%</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276</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Pembukuan BPHTB dan BUMD</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Jumlah Pembukuan BPHTB dan BUMD</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buku</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 buku</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12 buku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 buku</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r>
      <w:tr>
        <w:tblPrEx>
          <w:tblCellMar>
            <w:top w:w="0" w:type="dxa"/>
            <w:left w:w="108" w:type="dxa"/>
            <w:bottom w:w="0" w:type="dxa"/>
            <w:right w:w="108" w:type="dxa"/>
          </w:tblCellMar>
        </w:tblPrEx>
        <w:trPr>
          <w:trHeight w:val="1320" w:hRule="atLeast"/>
        </w:trPr>
        <w:tc>
          <w:tcPr>
            <w:tcW w:w="35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22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Verifikasi dan Validasi</w:t>
            </w:r>
          </w:p>
        </w:tc>
        <w:tc>
          <w:tcPr>
            <w:tcW w:w="22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Pengajuan permohonan Wajib Pajak untuk pembayaran BPHTB yang terverifikasi dan validasi</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176%</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176</w:t>
            </w:r>
          </w:p>
        </w:tc>
        <w:tc>
          <w:tcPr>
            <w:tcW w:w="128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30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276%</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276</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VII. Program Pelayanan dan Peningkatan Penerimaan PBB Perdesaan dan Perkotaan</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layanan PBB</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400%</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25.47%</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101.87</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50.47%</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50.47</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Optimalisasi Penerimaan PBB - P2</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penerimaan PBB - P2</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400%</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Pencetakan Massal dan Individual SPPT PBB - P2</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Penerbitan SPPT PBB - P2</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5505276 op</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1376319 OP</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242370 op</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1392226 OP</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101</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1376319 OP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2768545 OP</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r>
      <w:tr>
        <w:tblPrEx>
          <w:tblCellMar>
            <w:top w:w="0" w:type="dxa"/>
            <w:left w:w="108" w:type="dxa"/>
            <w:bottom w:w="0" w:type="dxa"/>
            <w:right w:w="108" w:type="dxa"/>
          </w:tblCellMar>
        </w:tblPrEx>
        <w:trPr>
          <w:trHeight w:val="19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Monitoring, Evaluasi dan Pelaporan Perkembangan Penerimaan PBB - P2</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Desa/Kelurahan di 33 Kecamatan yang dilakukan kegiatan Monitoring dan evaluasi perkembangan penerimaan PBB - P2 Jumlah laporan penerimaan mingguan PBB - P2 dalam 1 tahun</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320 desa</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 desa</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122</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Pengelolaan Data Base Objek dan Subjek PBB P2</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Pemeliharaan dan Pengembangan Sistem PBB - P2</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aplikasi SIM PBB</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 aplikasi SIM PBB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aplikasi SIM PBB</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r>
      <w:tr>
        <w:tblPrEx>
          <w:tblCellMar>
            <w:top w:w="0" w:type="dxa"/>
            <w:left w:w="108" w:type="dxa"/>
            <w:bottom w:w="0" w:type="dxa"/>
            <w:right w:w="108" w:type="dxa"/>
          </w:tblCellMar>
        </w:tblPrEx>
        <w:trPr>
          <w:trHeight w:val="114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Pekan Panutan Dan Pendistribusian SPPT PBB - P2</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Pekan Panutan - Jumlah SPPT PBB - P2 yang didistribusikan</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5505276 op</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1376319 OP</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344080 OP</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1515390 OP</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1376319 OP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2891709 OP</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53</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22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Pembentukan dan Pemeliharaan Basis Data PBB - P2</w:t>
            </w:r>
          </w:p>
        </w:tc>
        <w:tc>
          <w:tcPr>
            <w:tcW w:w="22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 yang dilakukan pembentukan basis data - Jumlah Desa yang dilakukan pemeliharaan Basis data</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132 desa</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desa</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desa</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desa</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desa</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66 desa</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VIII. Program Pengawasan dan Peningkatan Penerimaan Daerah</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Pengawasan Penerimaan Daerah</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50%</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50</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Penagihan Piutang Pajak Daerah Non PBB</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Penagihan Pajak Daerah (Non PBB) yang ditagih</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sektor pajak</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sektor pajak</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sektor pajak</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sektor pajak</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 sektor pajak </w:t>
            </w:r>
          </w:p>
        </w:tc>
        <w:tc>
          <w:tcPr>
            <w:tcW w:w="130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 sektor pajak </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Monitoring dan Evaluasi Pajak Daerah</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Monitoring Evaluasi Pajak dan Retribusi yang dilaksanakan</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76 dokumen</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 dokumen</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 dokumen</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 dokumen</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18 dokumen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 dokumen</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49</w:t>
            </w:r>
          </w:p>
        </w:tc>
      </w:tr>
      <w:tr>
        <w:tblPrEx>
          <w:tblCellMar>
            <w:top w:w="0" w:type="dxa"/>
            <w:left w:w="108" w:type="dxa"/>
            <w:bottom w:w="0" w:type="dxa"/>
            <w:right w:w="108" w:type="dxa"/>
          </w:tblCellMar>
        </w:tblPrEx>
        <w:trPr>
          <w:trHeight w:val="111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Pembinaan Aparatur Pengelolaan Pajak Daerah</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pembinaan aparatur pengelolaan Pajak di 7 UPT dan konsultasi di Provinsi dan Pusat</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120 pembinaan</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Penanganan Keberatan dan Pengurangan</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penanganan keberatan dan pengurangan objek pajak</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120 WP</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WP</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WP</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WP</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30 WP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60 WP</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Operasi Gabungan Penertiban Pajak Daerah</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operasi gabungan yang dilakukan</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 kegiatan</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kegiatan</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 kegiatan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kegiatan</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113</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Pemeriksaan Pajak Daerah</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pemeriksaan Pajak Daerah ke Wajib Pajak</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 kegiatan</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 kegiatan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kegiatan</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113</w:t>
            </w:r>
          </w:p>
        </w:tc>
      </w:tr>
      <w:tr>
        <w:tblPrEx>
          <w:tblCellMar>
            <w:top w:w="0" w:type="dxa"/>
            <w:left w:w="108" w:type="dxa"/>
            <w:bottom w:w="0" w:type="dxa"/>
            <w:right w:w="108" w:type="dxa"/>
          </w:tblCellMar>
        </w:tblPrEx>
        <w:trPr>
          <w:trHeight w:val="13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Rekonsiliasi Piutang Pajak</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pelaksanaan rekonsiliasi piutang dan tunggakan pajak di 7 UPT</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kegiatan</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kegiatan</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12 kegiatan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 kegiatan</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r>
      <w:tr>
        <w:tblPrEx>
          <w:tblCellMar>
            <w:top w:w="0" w:type="dxa"/>
            <w:left w:w="108" w:type="dxa"/>
            <w:bottom w:w="0" w:type="dxa"/>
            <w:right w:w="108" w:type="dxa"/>
          </w:tblCellMar>
        </w:tblPrEx>
        <w:trPr>
          <w:trHeight w:val="800" w:hRule="atLeast"/>
        </w:trPr>
        <w:tc>
          <w:tcPr>
            <w:tcW w:w="353"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3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2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IX. Program Pelayanan Peningkatan Penerimaan Pajak Non PBB &amp; BPHTB</w:t>
            </w:r>
          </w:p>
        </w:tc>
        <w:tc>
          <w:tcPr>
            <w:tcW w:w="22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Penerimaan Pajak Non PBB &amp; BPHTB</w:t>
            </w:r>
          </w:p>
        </w:tc>
        <w:tc>
          <w:tcPr>
            <w:tcW w:w="143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53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2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15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14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28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w:t>
            </w:r>
          </w:p>
        </w:tc>
        <w:tc>
          <w:tcPr>
            <w:tcW w:w="130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50%</w:t>
            </w:r>
          </w:p>
        </w:tc>
        <w:tc>
          <w:tcPr>
            <w:tcW w:w="152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50</w:t>
            </w:r>
          </w:p>
        </w:tc>
      </w:tr>
      <w:tr>
        <w:tblPrEx>
          <w:tblCellMar>
            <w:top w:w="0" w:type="dxa"/>
            <w:left w:w="108" w:type="dxa"/>
            <w:bottom w:w="0" w:type="dxa"/>
            <w:right w:w="108" w:type="dxa"/>
          </w:tblCellMar>
        </w:tblPrEx>
        <w:trPr>
          <w:trHeight w:val="187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Administrasi Perpajakan</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Penghitungan Penetapan Penerbitan dan Pendistribusian Surat Ketetapan Pajak (SKP/SKPD) serta Pemeliharaan Sistem Aplikasi Perpajakan</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19000 SKPD</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15000 SKPD</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900 SKPD</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15000 SKPD</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16538 SKPD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31538 SKPD</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166</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data penghitungan dan rekonsiliasi Bagi Hasil Pajak Daerah &amp; Retribusi kepada Desa</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 yang mendapatkan bagi hasil Pajak dan Retribusi</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378 desa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target dan laporan perpajakan</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Realisasi yang disusun</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864 laporan</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216 laporan</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 laporan</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216 laporan</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216 laporan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432 laporan</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r>
      <w:tr>
        <w:trPr>
          <w:trHeight w:val="114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Pelayanan dan Pengadministrasian permintaan perforasi benda - benda berharga</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permintaan Perforasi dan Pengadministrasian pengelolaan Benda - Benda Berharga</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1293 WP</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wajib pajak</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331 WP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631 WP</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49</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Intensifikasi &amp; Ekstenfikasi sumber - sumber Pendapatan Daerah</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obyek pajak yang di lakukan intensifikasi dan ekstensifikasi</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118 OP</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102 OP</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102 op</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102 OP</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112 OP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112 OP</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95</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Pendaftaran Pendataan dan Pemutakhiran Data Obyek Pajak</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Wajib pajak yang terdaftar dan jumlah pendataan obyek pajak</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1293 WP</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 WP</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331 WP </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631 WP</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49</w:t>
            </w:r>
          </w:p>
        </w:tc>
      </w:tr>
      <w:tr>
        <w:tblPrEx>
          <w:tblCellMar>
            <w:top w:w="0" w:type="dxa"/>
            <w:left w:w="108" w:type="dxa"/>
            <w:bottom w:w="0" w:type="dxa"/>
            <w:right w:w="108" w:type="dxa"/>
          </w:tblCellMar>
        </w:tblPrEx>
        <w:trPr>
          <w:trHeight w:val="800" w:hRule="atLeast"/>
        </w:trPr>
        <w:tc>
          <w:tcPr>
            <w:tcW w:w="353"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87"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3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2220"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Regulasi Perpajakan</w:t>
            </w:r>
          </w:p>
        </w:tc>
        <w:tc>
          <w:tcPr>
            <w:tcW w:w="2245" w:type="dxa"/>
            <w:tcBorders>
              <w:top w:val="nil"/>
              <w:left w:val="nil"/>
              <w:bottom w:val="single" w:color="auto" w:sz="4" w:space="0"/>
              <w:right w:val="single" w:color="auto" w:sz="4" w:space="0"/>
            </w:tcBorders>
            <w:shd w:val="clear" w:color="000000" w:fill="FFFFFF"/>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RAPERDA dan PERBUP yang di hasilkan</w:t>
            </w:r>
          </w:p>
        </w:tc>
        <w:tc>
          <w:tcPr>
            <w:tcW w:w="143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dokumen</w:t>
            </w:r>
          </w:p>
        </w:tc>
        <w:tc>
          <w:tcPr>
            <w:tcW w:w="153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0"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dokumen</w:t>
            </w:r>
          </w:p>
        </w:tc>
        <w:tc>
          <w:tcPr>
            <w:tcW w:w="115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dokumen</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dokumen</w:t>
            </w:r>
          </w:p>
        </w:tc>
        <w:tc>
          <w:tcPr>
            <w:tcW w:w="114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8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30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dokumen</w:t>
            </w:r>
          </w:p>
        </w:tc>
        <w:tc>
          <w:tcPr>
            <w:tcW w:w="152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w:t>
            </w:r>
          </w:p>
        </w:tc>
      </w:tr>
    </w:tbl>
    <w:p>
      <w:pPr>
        <w:rPr>
          <w:rFonts w:ascii="Bookman Old Style" w:hAnsi="Bookman Old Style" w:cs="Arial"/>
          <w:sz w:val="24"/>
          <w:szCs w:val="24"/>
          <w:lang w:val="fi-FI"/>
        </w:rPr>
      </w:pPr>
    </w:p>
    <w:p>
      <w:pPr>
        <w:pStyle w:val="15"/>
        <w:spacing w:line="360" w:lineRule="auto"/>
        <w:jc w:val="both"/>
        <w:rPr>
          <w:rFonts w:ascii="Bookman Old Style" w:hAnsi="Bookman Old Style" w:cs="Arial"/>
          <w:sz w:val="24"/>
          <w:szCs w:val="24"/>
        </w:rPr>
        <w:sectPr>
          <w:pgSz w:w="20160" w:h="12240" w:orient="landscape"/>
          <w:pgMar w:top="1555" w:right="850" w:bottom="1411" w:left="288" w:header="706" w:footer="706" w:gutter="0"/>
          <w:cols w:space="708" w:num="1"/>
          <w:titlePg/>
          <w:docGrid w:linePitch="360" w:charSpace="0"/>
        </w:sectPr>
      </w:pPr>
    </w:p>
    <w:p>
      <w:pPr>
        <w:pStyle w:val="15"/>
        <w:spacing w:line="360" w:lineRule="auto"/>
        <w:ind w:left="567" w:firstLine="709"/>
        <w:jc w:val="both"/>
        <w:rPr>
          <w:rFonts w:ascii="Bookman Old Style" w:hAnsi="Bookman Old Style" w:cs="Arial"/>
          <w:color w:val="000000" w:themeColor="text1"/>
          <w:sz w:val="24"/>
          <w:szCs w:val="24"/>
          <w:lang w:val="fi-FI"/>
          <w14:textFill>
            <w14:solidFill>
              <w14:schemeClr w14:val="tx1"/>
            </w14:solidFill>
          </w14:textFill>
        </w:rPr>
      </w:pPr>
      <w:r>
        <w:rPr>
          <w:rFonts w:ascii="Bookman Old Style" w:hAnsi="Bookman Old Style" w:cs="Arial"/>
          <w:sz w:val="24"/>
          <w:szCs w:val="24"/>
        </w:rPr>
        <w:t>Dari R</w:t>
      </w:r>
      <w:r>
        <w:rPr>
          <w:rFonts w:ascii="Bookman Old Style" w:hAnsi="Bookman Old Style" w:cs="Arial"/>
          <w:sz w:val="24"/>
          <w:szCs w:val="24"/>
          <w:lang w:val="fi-FI"/>
        </w:rPr>
        <w:t>ekapitulasi Hasil Evaluasi Hasil Pelaksanaan Renja Perangkat Daerah dan Pencapaian Renstra sampai dengan Tahun 2019 seperti yang ditampilkan pada tabel 2.1, diketahui bahwa perkiraan realisasi Capaian Target Renstra untuk semua Program Kegiatan Badan Pendapatan Daerah Kabupaten Malang realisasi capaian program maupun tingkat capaian realisasi target Renstra Perangkat Daerah sudah terealisasi dengan sesuai dengan target</w:t>
      </w:r>
      <w:r>
        <w:rPr>
          <w:rFonts w:ascii="Bookman Old Style" w:hAnsi="Bookman Old Style" w:cs="Arial"/>
          <w:sz w:val="24"/>
          <w:szCs w:val="24"/>
        </w:rPr>
        <w:t xml:space="preserve">, khususnya untuk </w:t>
      </w:r>
      <w:r>
        <w:rPr>
          <w:rFonts w:ascii="Bookman Old Style" w:hAnsi="Bookman Old Style" w:cs="Arial"/>
          <w:sz w:val="24"/>
          <w:szCs w:val="24"/>
          <w:lang w:val="fi-FI"/>
        </w:rPr>
        <w:t xml:space="preserve">Program dan Kegiatan baru </w:t>
      </w:r>
      <w:r>
        <w:rPr>
          <w:rFonts w:ascii="Bookman Old Style" w:hAnsi="Bookman Old Style" w:cs="Arial"/>
          <w:sz w:val="24"/>
          <w:szCs w:val="24"/>
        </w:rPr>
        <w:t>yang dilaksanakan mulai tahun 2018,  P</w:t>
      </w:r>
      <w:r>
        <w:rPr>
          <w:rFonts w:ascii="Bookman Old Style" w:hAnsi="Bookman Old Style" w:cs="Arial"/>
          <w:sz w:val="24"/>
          <w:szCs w:val="24"/>
          <w:lang w:val="fi-FI"/>
        </w:rPr>
        <w:t>ada tahun 2017 Badan Pendapatan Daerah adalah Perangkat Daerah baru yang merupakan pecahan dari Dinas Pendapatan, Pengelolaan Keuangan dan Asset sehingga ada perubahan kegiatan serta nome</w:t>
      </w:r>
      <w:r>
        <w:rPr>
          <w:rFonts w:ascii="Bookman Old Style" w:hAnsi="Bookman Old Style" w:cs="Arial"/>
          <w:sz w:val="24"/>
          <w:szCs w:val="24"/>
        </w:rPr>
        <w:t>nk</w:t>
      </w:r>
      <w:r>
        <w:rPr>
          <w:rFonts w:ascii="Bookman Old Style" w:hAnsi="Bookman Old Style" w:cs="Arial"/>
          <w:sz w:val="24"/>
          <w:szCs w:val="24"/>
          <w:lang w:val="fi-FI"/>
        </w:rPr>
        <w:t>latur program</w:t>
      </w:r>
      <w:r>
        <w:rPr>
          <w:rFonts w:ascii="Bookman Old Style" w:hAnsi="Bookman Old Style" w:cs="Arial"/>
          <w:sz w:val="24"/>
          <w:szCs w:val="24"/>
        </w:rPr>
        <w:t>/</w:t>
      </w:r>
      <w:r>
        <w:rPr>
          <w:rFonts w:ascii="Bookman Old Style" w:hAnsi="Bookman Old Style" w:cs="Arial"/>
          <w:sz w:val="24"/>
          <w:szCs w:val="24"/>
          <w:lang w:val="fi-FI"/>
        </w:rPr>
        <w:t>kegiatan yang tidak bisa ter</w:t>
      </w:r>
      <w:r>
        <w:rPr>
          <w:rFonts w:ascii="Bookman Old Style" w:hAnsi="Bookman Old Style" w:cs="Arial"/>
          <w:sz w:val="24"/>
          <w:szCs w:val="24"/>
        </w:rPr>
        <w:t>capai</w:t>
      </w:r>
      <w:r>
        <w:rPr>
          <w:rFonts w:ascii="Bookman Old Style" w:hAnsi="Bookman Old Style" w:cs="Arial"/>
          <w:sz w:val="24"/>
          <w:szCs w:val="24"/>
          <w:lang w:val="fi-FI"/>
        </w:rPr>
        <w:t xml:space="preserve"> dengan maksimal. Setelah dilakukan penyesuaian program kegiatan Badan Pendapatan Daerah Kabupaten Malang memiliki 9 Program yaitu 5 program rutin dan 4 program utama Badan Pendapatan, dengan total kegiatan 41 Kegiatan </w:t>
      </w:r>
      <w:r>
        <w:rPr>
          <w:rFonts w:ascii="Bookman Old Style" w:hAnsi="Bookman Old Style" w:cs="Arial"/>
          <w:sz w:val="24"/>
          <w:szCs w:val="24"/>
        </w:rPr>
        <w:t xml:space="preserve">sesuai </w:t>
      </w:r>
      <w:r>
        <w:rPr>
          <w:rFonts w:ascii="Bookman Old Style" w:hAnsi="Bookman Old Style" w:cs="Arial"/>
          <w:sz w:val="24"/>
          <w:szCs w:val="24"/>
          <w:lang w:val="fi-FI"/>
        </w:rPr>
        <w:t>yang terc</w:t>
      </w:r>
      <w:r>
        <w:rPr>
          <w:rFonts w:ascii="Bookman Old Style" w:hAnsi="Bookman Old Style" w:cs="Arial"/>
          <w:color w:val="000000" w:themeColor="text1"/>
          <w:sz w:val="24"/>
          <w:szCs w:val="24"/>
          <w:lang w:val="fi-FI"/>
          <w14:textFill>
            <w14:solidFill>
              <w14:schemeClr w14:val="tx1"/>
            </w14:solidFill>
          </w14:textFill>
        </w:rPr>
        <w:t>antum dalam Reviu Renstra Badan Pendapatan Daerah Tahun 2018</w:t>
      </w:r>
      <w:r>
        <w:rPr>
          <w:rFonts w:ascii="Bookman Old Style" w:hAnsi="Bookman Old Style" w:cs="Arial"/>
          <w:color w:val="000000" w:themeColor="text1"/>
          <w:sz w:val="24"/>
          <w:szCs w:val="24"/>
          <w14:textFill>
            <w14:solidFill>
              <w14:schemeClr w14:val="tx1"/>
            </w14:solidFill>
          </w14:textFill>
        </w:rPr>
        <w:t>.P</w:t>
      </w:r>
      <w:r>
        <w:rPr>
          <w:rFonts w:ascii="Bookman Old Style" w:hAnsi="Bookman Old Style" w:cs="Arial"/>
          <w:color w:val="000000" w:themeColor="text1"/>
          <w:sz w:val="24"/>
          <w:szCs w:val="24"/>
          <w:lang w:val="fi-FI"/>
          <w14:textFill>
            <w14:solidFill>
              <w14:schemeClr w14:val="tx1"/>
            </w14:solidFill>
          </w14:textFill>
        </w:rPr>
        <w:t>rogram</w:t>
      </w:r>
      <w:r>
        <w:rPr>
          <w:rFonts w:ascii="Bookman Old Style" w:hAnsi="Bookman Old Style" w:cs="Arial"/>
          <w:color w:val="000000" w:themeColor="text1"/>
          <w:sz w:val="24"/>
          <w:szCs w:val="24"/>
          <w14:textFill>
            <w14:solidFill>
              <w14:schemeClr w14:val="tx1"/>
            </w14:solidFill>
          </w14:textFill>
        </w:rPr>
        <w:t xml:space="preserve">/kegiatan pada </w:t>
      </w:r>
      <w:r>
        <w:rPr>
          <w:rFonts w:ascii="Bookman Old Style" w:hAnsi="Bookman Old Style" w:cs="Arial"/>
          <w:color w:val="000000" w:themeColor="text1"/>
          <w:sz w:val="24"/>
          <w:szCs w:val="24"/>
          <w:lang w:val="fi-FI"/>
          <w14:textFill>
            <w14:solidFill>
              <w14:schemeClr w14:val="tx1"/>
            </w14:solidFill>
          </w14:textFill>
        </w:rPr>
        <w:t xml:space="preserve">Badan PendapatanDaerah Kabupaten Malang sampai dengan </w:t>
      </w:r>
      <w:r>
        <w:rPr>
          <w:rFonts w:ascii="Bookman Old Style" w:hAnsi="Bookman Old Style" w:cs="Arial"/>
          <w:color w:val="000000" w:themeColor="text1"/>
          <w:sz w:val="24"/>
          <w:szCs w:val="24"/>
          <w14:textFill>
            <w14:solidFill>
              <w14:schemeClr w14:val="tx1"/>
            </w14:solidFill>
          </w14:textFill>
        </w:rPr>
        <w:t>akhir</w:t>
      </w:r>
      <w:r>
        <w:rPr>
          <w:rFonts w:ascii="Bookman Old Style" w:hAnsi="Bookman Old Style" w:cs="Arial"/>
          <w:color w:val="000000" w:themeColor="text1"/>
          <w:sz w:val="24"/>
          <w:szCs w:val="24"/>
          <w:lang w:val="fi-FI"/>
          <w14:textFill>
            <w14:solidFill>
              <w14:schemeClr w14:val="tx1"/>
            </w14:solidFill>
          </w14:textFill>
        </w:rPr>
        <w:t xml:space="preserve"> Tahun2018</w:t>
      </w:r>
      <w:r>
        <w:rPr>
          <w:rFonts w:ascii="Bookman Old Style" w:hAnsi="Bookman Old Style" w:cs="Arial"/>
          <w:color w:val="000000" w:themeColor="text1"/>
          <w:sz w:val="24"/>
          <w:szCs w:val="24"/>
          <w:lang w:val="zh-CN"/>
          <w14:textFill>
            <w14:solidFill>
              <w14:schemeClr w14:val="tx1"/>
            </w14:solidFill>
          </w14:textFill>
        </w:rPr>
        <w:t>dengan pencapaian</w:t>
      </w:r>
      <w:r>
        <w:rPr>
          <w:rFonts w:ascii="Bookman Old Style" w:hAnsi="Bookman Old Style" w:cs="Arial"/>
          <w:color w:val="000000" w:themeColor="text1"/>
          <w:sz w:val="24"/>
          <w:szCs w:val="24"/>
          <w14:textFill>
            <w14:solidFill>
              <w14:schemeClr w14:val="tx1"/>
            </w14:solidFill>
          </w14:textFill>
        </w:rPr>
        <w:t xml:space="preserve"> target </w:t>
      </w:r>
      <w:r>
        <w:rPr>
          <w:rFonts w:ascii="Bookman Old Style" w:hAnsi="Bookman Old Style" w:cs="Arial"/>
          <w:color w:val="000000" w:themeColor="text1"/>
          <w:sz w:val="24"/>
          <w:szCs w:val="24"/>
          <w:lang w:val="zh-CN"/>
          <w14:textFill>
            <w14:solidFill>
              <w14:schemeClr w14:val="tx1"/>
            </w14:solidFill>
          </w14:textFill>
        </w:rPr>
        <w:t>kinerja sebesar 100 % adalah:</w:t>
      </w:r>
    </w:p>
    <w:p>
      <w:pPr>
        <w:pStyle w:val="15"/>
        <w:numPr>
          <w:ilvl w:val="3"/>
          <w:numId w:val="7"/>
        </w:numPr>
        <w:spacing w:line="360" w:lineRule="auto"/>
        <w:ind w:left="993" w:hanging="426"/>
        <w:jc w:val="both"/>
        <w:rPr>
          <w:rFonts w:ascii="Bookman Old Style" w:hAnsi="Bookman Old Style" w:cs="Arial"/>
          <w:color w:val="000000" w:themeColor="text1"/>
          <w:sz w:val="24"/>
          <w:szCs w:val="24"/>
          <w:lang w:val="fi-FI"/>
          <w14:textFill>
            <w14:solidFill>
              <w14:schemeClr w14:val="tx1"/>
            </w14:solidFill>
          </w14:textFill>
        </w:rPr>
      </w:pPr>
      <w:r>
        <w:rPr>
          <w:rFonts w:ascii="Bookman Old Style" w:hAnsi="Bookman Old Style" w:cs="Arial"/>
          <w:color w:val="000000" w:themeColor="text1"/>
          <w:sz w:val="24"/>
          <w:szCs w:val="24"/>
          <w:lang w:val="fi-FI"/>
          <w14:textFill>
            <w14:solidFill>
              <w14:schemeClr w14:val="tx1"/>
            </w14:solidFill>
          </w14:textFill>
        </w:rPr>
        <w:t>Program Pelayanan Administrasi Perkantoran, terdiri dari 12 kegiatan</w:t>
      </w:r>
      <w:r>
        <w:rPr>
          <w:rFonts w:ascii="Bookman Old Style" w:hAnsi="Bookman Old Style" w:cs="Arial"/>
          <w:color w:val="000000" w:themeColor="text1"/>
          <w:sz w:val="24"/>
          <w:szCs w:val="24"/>
          <w:lang w:val="zh-CN"/>
          <w14:textFill>
            <w14:solidFill>
              <w14:schemeClr w14:val="tx1"/>
            </w14:solidFill>
          </w14:textFill>
        </w:rPr>
        <w:t>;</w:t>
      </w:r>
    </w:p>
    <w:p>
      <w:pPr>
        <w:pStyle w:val="15"/>
        <w:numPr>
          <w:ilvl w:val="3"/>
          <w:numId w:val="7"/>
        </w:numPr>
        <w:spacing w:line="360" w:lineRule="auto"/>
        <w:ind w:left="993" w:hanging="426"/>
        <w:jc w:val="both"/>
        <w:rPr>
          <w:rFonts w:ascii="Bookman Old Style" w:hAnsi="Bookman Old Style" w:cs="Arial"/>
          <w:color w:val="000000" w:themeColor="text1"/>
          <w:sz w:val="24"/>
          <w:szCs w:val="24"/>
          <w:lang w:val="fi-FI"/>
          <w14:textFill>
            <w14:solidFill>
              <w14:schemeClr w14:val="tx1"/>
            </w14:solidFill>
          </w14:textFill>
        </w:rPr>
      </w:pPr>
      <w:r>
        <w:rPr>
          <w:rFonts w:ascii="Bookman Old Style" w:hAnsi="Bookman Old Style" w:cs="Arial"/>
          <w:color w:val="000000" w:themeColor="text1"/>
          <w:sz w:val="24"/>
          <w:szCs w:val="24"/>
          <w:lang w:val="fi-FI"/>
          <w14:textFill>
            <w14:solidFill>
              <w14:schemeClr w14:val="tx1"/>
            </w14:solidFill>
          </w14:textFill>
        </w:rPr>
        <w:t>Program Peningkatan Sarana dan Prasarana Aparatur, terdiri dari 5 kegiatan</w:t>
      </w:r>
      <w:r>
        <w:rPr>
          <w:rFonts w:ascii="Bookman Old Style" w:hAnsi="Bookman Old Style" w:cs="Arial"/>
          <w:color w:val="000000" w:themeColor="text1"/>
          <w:sz w:val="24"/>
          <w:szCs w:val="24"/>
          <w:lang w:val="zh-CN"/>
          <w14:textFill>
            <w14:solidFill>
              <w14:schemeClr w14:val="tx1"/>
            </w14:solidFill>
          </w14:textFill>
        </w:rPr>
        <w:t>;</w:t>
      </w:r>
    </w:p>
    <w:p>
      <w:pPr>
        <w:pStyle w:val="15"/>
        <w:numPr>
          <w:ilvl w:val="3"/>
          <w:numId w:val="7"/>
        </w:numPr>
        <w:spacing w:line="360" w:lineRule="auto"/>
        <w:ind w:left="993" w:hanging="426"/>
        <w:jc w:val="both"/>
        <w:rPr>
          <w:rFonts w:ascii="Bookman Old Style" w:hAnsi="Bookman Old Style" w:cs="Arial"/>
          <w:color w:val="000000" w:themeColor="text1"/>
          <w:sz w:val="24"/>
          <w:szCs w:val="24"/>
          <w:lang w:val="fi-FI"/>
          <w14:textFill>
            <w14:solidFill>
              <w14:schemeClr w14:val="tx1"/>
            </w14:solidFill>
          </w14:textFill>
        </w:rPr>
      </w:pPr>
      <w:r>
        <w:rPr>
          <w:rFonts w:ascii="Bookman Old Style" w:hAnsi="Bookman Old Style" w:cs="Arial"/>
          <w:color w:val="000000" w:themeColor="text1"/>
          <w:sz w:val="24"/>
          <w:szCs w:val="24"/>
          <w:lang w:val="fi-FI"/>
          <w14:textFill>
            <w14:solidFill>
              <w14:schemeClr w14:val="tx1"/>
            </w14:solidFill>
          </w14:textFill>
        </w:rPr>
        <w:t>Program Peningkatan Disiplin Aparatur, terdiri dari 1 kegiatan</w:t>
      </w:r>
      <w:r>
        <w:rPr>
          <w:rFonts w:ascii="Bookman Old Style" w:hAnsi="Bookman Old Style" w:cs="Arial"/>
          <w:color w:val="000000" w:themeColor="text1"/>
          <w:sz w:val="24"/>
          <w:szCs w:val="24"/>
          <w:lang w:val="zh-CN"/>
          <w14:textFill>
            <w14:solidFill>
              <w14:schemeClr w14:val="tx1"/>
            </w14:solidFill>
          </w14:textFill>
        </w:rPr>
        <w:t>;</w:t>
      </w:r>
    </w:p>
    <w:p>
      <w:pPr>
        <w:pStyle w:val="15"/>
        <w:numPr>
          <w:ilvl w:val="3"/>
          <w:numId w:val="7"/>
        </w:numPr>
        <w:spacing w:line="360" w:lineRule="auto"/>
        <w:ind w:left="993" w:hanging="426"/>
        <w:jc w:val="both"/>
        <w:rPr>
          <w:rFonts w:ascii="Bookman Old Style" w:hAnsi="Bookman Old Style" w:cs="Arial"/>
          <w:color w:val="000000" w:themeColor="text1"/>
          <w:sz w:val="24"/>
          <w:szCs w:val="24"/>
          <w:lang w:val="fi-FI"/>
          <w14:textFill>
            <w14:solidFill>
              <w14:schemeClr w14:val="tx1"/>
            </w14:solidFill>
          </w14:textFill>
        </w:rPr>
      </w:pPr>
      <w:r>
        <w:rPr>
          <w:rFonts w:ascii="Bookman Old Style" w:hAnsi="Bookman Old Style" w:cs="Arial"/>
          <w:color w:val="000000" w:themeColor="text1"/>
          <w:sz w:val="24"/>
          <w:szCs w:val="24"/>
          <w:lang w:val="fi-FI"/>
          <w14:textFill>
            <w14:solidFill>
              <w14:schemeClr w14:val="tx1"/>
            </w14:solidFill>
          </w14:textFill>
        </w:rPr>
        <w:t>Program Peningkatan Pengembangan Sistem Pelaporan Capaian Kinerja dan Keuangan, terdiri dari 3 kegiatan;</w:t>
      </w:r>
    </w:p>
    <w:p>
      <w:pPr>
        <w:pStyle w:val="15"/>
        <w:numPr>
          <w:ilvl w:val="3"/>
          <w:numId w:val="7"/>
        </w:numPr>
        <w:spacing w:line="360" w:lineRule="auto"/>
        <w:ind w:left="993" w:hanging="426"/>
        <w:jc w:val="both"/>
        <w:rPr>
          <w:rFonts w:ascii="Bookman Old Style" w:hAnsi="Bookman Old Style" w:cs="Arial"/>
          <w:color w:val="000000" w:themeColor="text1"/>
          <w:sz w:val="24"/>
          <w:szCs w:val="24"/>
          <w:lang w:val="fi-FI"/>
          <w14:textFill>
            <w14:solidFill>
              <w14:schemeClr w14:val="tx1"/>
            </w14:solidFill>
          </w14:textFill>
        </w:rPr>
      </w:pPr>
      <w:r>
        <w:rPr>
          <w:rFonts w:ascii="Bookman Old Style" w:hAnsi="Bookman Old Style" w:cs="Arial"/>
          <w:color w:val="000000" w:themeColor="text1"/>
          <w:sz w:val="24"/>
          <w:szCs w:val="24"/>
          <w:lang w:val="fi-FI"/>
          <w14:textFill>
            <w14:solidFill>
              <w14:schemeClr w14:val="tx1"/>
            </w14:solidFill>
          </w14:textFill>
        </w:rPr>
        <w:t>Program Pelayanan dan Peningkatan Penerimaan Penerimaan Pajak Non PBB dan BPHTB, terdiri dari 7 kegiatan</w:t>
      </w:r>
      <w:r>
        <w:rPr>
          <w:rFonts w:ascii="Bookman Old Style" w:hAnsi="Bookman Old Style" w:cs="Arial"/>
          <w:color w:val="000000" w:themeColor="text1"/>
          <w:sz w:val="24"/>
          <w:szCs w:val="24"/>
          <w:lang w:val="zh-CN"/>
          <w14:textFill>
            <w14:solidFill>
              <w14:schemeClr w14:val="tx1"/>
            </w14:solidFill>
          </w14:textFill>
        </w:rPr>
        <w:t>;</w:t>
      </w:r>
    </w:p>
    <w:p>
      <w:pPr>
        <w:pStyle w:val="15"/>
        <w:numPr>
          <w:ilvl w:val="3"/>
          <w:numId w:val="7"/>
        </w:numPr>
        <w:spacing w:line="360" w:lineRule="auto"/>
        <w:ind w:left="993" w:hanging="426"/>
        <w:jc w:val="both"/>
        <w:rPr>
          <w:rFonts w:ascii="Bookman Old Style" w:hAnsi="Bookman Old Style" w:cs="Arial"/>
          <w:color w:val="000000" w:themeColor="text1"/>
          <w:sz w:val="24"/>
          <w:szCs w:val="24"/>
          <w:lang w:val="fi-FI"/>
          <w14:textFill>
            <w14:solidFill>
              <w14:schemeClr w14:val="tx1"/>
            </w14:solidFill>
          </w14:textFill>
        </w:rPr>
      </w:pPr>
      <w:r>
        <w:rPr>
          <w:rFonts w:ascii="Bookman Old Style" w:hAnsi="Bookman Old Style" w:cs="Arial"/>
          <w:color w:val="000000" w:themeColor="text1"/>
          <w:sz w:val="24"/>
          <w:szCs w:val="24"/>
          <w:lang w:val="fi-FI"/>
          <w14:textFill>
            <w14:solidFill>
              <w14:schemeClr w14:val="tx1"/>
            </w14:solidFill>
          </w14:textFill>
        </w:rPr>
        <w:t>Program Pengawasan dan Peningkatan Penerimaan Daerah, terdiri dari 6 kegiatan</w:t>
      </w:r>
      <w:r>
        <w:rPr>
          <w:rFonts w:ascii="Bookman Old Style" w:hAnsi="Bookman Old Style" w:cs="Arial"/>
          <w:color w:val="000000" w:themeColor="text1"/>
          <w:sz w:val="24"/>
          <w:szCs w:val="24"/>
          <w14:textFill>
            <w14:solidFill>
              <w14:schemeClr w14:val="tx1"/>
            </w14:solidFill>
          </w14:textFill>
        </w:rPr>
        <w:t>.</w:t>
      </w:r>
    </w:p>
    <w:p>
      <w:pPr>
        <w:pStyle w:val="15"/>
        <w:spacing w:line="360" w:lineRule="auto"/>
        <w:ind w:left="567"/>
        <w:jc w:val="both"/>
        <w:rPr>
          <w:rFonts w:ascii="Bookman Old Style" w:hAnsi="Bookman Old Style" w:cs="Arial"/>
          <w:color w:val="000000" w:themeColor="text1"/>
          <w:sz w:val="24"/>
          <w:szCs w:val="24"/>
          <w:lang w:val="zh-CN"/>
          <w14:textFill>
            <w14:solidFill>
              <w14:schemeClr w14:val="tx1"/>
            </w14:solidFill>
          </w14:textFill>
        </w:rPr>
      </w:pPr>
      <w:r>
        <w:rPr>
          <w:rFonts w:ascii="Bookman Old Style" w:hAnsi="Bookman Old Style" w:cs="Arial"/>
          <w:color w:val="000000" w:themeColor="text1"/>
          <w:sz w:val="24"/>
          <w:szCs w:val="24"/>
          <w:lang w:val="zh-CN"/>
          <w14:textFill>
            <w14:solidFill>
              <w14:schemeClr w14:val="tx1"/>
            </w14:solidFill>
          </w14:textFill>
        </w:rPr>
        <w:t>Sedangkan Program/kegiatan dengan capaian lebih dari 100 % adalah:</w:t>
      </w:r>
    </w:p>
    <w:p>
      <w:pPr>
        <w:pStyle w:val="15"/>
        <w:numPr>
          <w:ilvl w:val="0"/>
          <w:numId w:val="8"/>
        </w:numPr>
        <w:spacing w:line="360" w:lineRule="auto"/>
        <w:ind w:left="993" w:hanging="426"/>
        <w:jc w:val="both"/>
        <w:rPr>
          <w:rFonts w:ascii="Bookman Old Style" w:hAnsi="Bookman Old Style" w:cs="Arial"/>
          <w:color w:val="000000" w:themeColor="text1"/>
          <w:sz w:val="24"/>
          <w:szCs w:val="24"/>
          <w:lang w:val="fi-FI"/>
          <w14:textFill>
            <w14:solidFill>
              <w14:schemeClr w14:val="tx1"/>
            </w14:solidFill>
          </w14:textFill>
        </w:rPr>
      </w:pPr>
      <w:r>
        <w:rPr>
          <w:rFonts w:ascii="Bookman Old Style" w:hAnsi="Bookman Old Style" w:cs="Arial"/>
          <w:color w:val="000000" w:themeColor="text1"/>
          <w:sz w:val="24"/>
          <w:szCs w:val="24"/>
          <w:lang w:val="fi-FI"/>
          <w14:textFill>
            <w14:solidFill>
              <w14:schemeClr w14:val="tx1"/>
            </w14:solidFill>
          </w14:textFill>
        </w:rPr>
        <w:t>Program Peningkatan Kapasitas Sumber Daya Aparatur, terdiri dari 1 kegiatan</w:t>
      </w:r>
      <w:r>
        <w:rPr>
          <w:rFonts w:ascii="Bookman Old Style" w:hAnsi="Bookman Old Style" w:cs="Arial"/>
          <w:color w:val="000000" w:themeColor="text1"/>
          <w:sz w:val="24"/>
          <w:szCs w:val="24"/>
          <w14:textFill>
            <w14:solidFill>
              <w14:schemeClr w14:val="tx1"/>
            </w14:solidFill>
          </w14:textFill>
        </w:rPr>
        <w:t xml:space="preserve">, dengan capaian sebesar </w:t>
      </w:r>
      <w:r>
        <w:rPr>
          <w:rFonts w:ascii="Bookman Old Style" w:hAnsi="Bookman Old Style" w:cs="Arial"/>
          <w:color w:val="000000" w:themeColor="text1"/>
          <w:sz w:val="24"/>
          <w:szCs w:val="24"/>
          <w:lang w:val="zh-CN"/>
          <w14:textFill>
            <w14:solidFill>
              <w14:schemeClr w14:val="tx1"/>
            </w14:solidFill>
          </w14:textFill>
        </w:rPr>
        <w:t>105</w:t>
      </w:r>
      <w:r>
        <w:rPr>
          <w:rFonts w:ascii="Bookman Old Style" w:hAnsi="Bookman Old Style" w:cs="Arial"/>
          <w:color w:val="000000" w:themeColor="text1"/>
          <w:sz w:val="24"/>
          <w:szCs w:val="24"/>
          <w14:textFill>
            <w14:solidFill>
              <w14:schemeClr w14:val="tx1"/>
            </w14:solidFill>
          </w14:textFill>
        </w:rPr>
        <w:t>%</w:t>
      </w:r>
      <w:r>
        <w:rPr>
          <w:rFonts w:ascii="Bookman Old Style" w:hAnsi="Bookman Old Style" w:cs="Arial"/>
          <w:color w:val="000000" w:themeColor="text1"/>
          <w:sz w:val="24"/>
          <w:szCs w:val="24"/>
          <w:lang w:val="fi-FI"/>
          <w14:textFill>
            <w14:solidFill>
              <w14:schemeClr w14:val="tx1"/>
            </w14:solidFill>
          </w14:textFill>
        </w:rPr>
        <w:t>;</w:t>
      </w:r>
    </w:p>
    <w:p>
      <w:pPr>
        <w:pStyle w:val="15"/>
        <w:numPr>
          <w:ilvl w:val="0"/>
          <w:numId w:val="8"/>
        </w:numPr>
        <w:spacing w:line="360" w:lineRule="auto"/>
        <w:ind w:left="993" w:hanging="426"/>
        <w:jc w:val="both"/>
        <w:rPr>
          <w:rFonts w:ascii="Bookman Old Style" w:hAnsi="Bookman Old Style" w:cs="Arial"/>
          <w:color w:val="000000" w:themeColor="text1"/>
          <w:sz w:val="24"/>
          <w:szCs w:val="24"/>
          <w:lang w:val="fi-FI"/>
          <w14:textFill>
            <w14:solidFill>
              <w14:schemeClr w14:val="tx1"/>
            </w14:solidFill>
          </w14:textFill>
        </w:rPr>
      </w:pPr>
      <w:r>
        <w:rPr>
          <w:rFonts w:ascii="Bookman Old Style" w:hAnsi="Bookman Old Style" w:cs="Arial"/>
          <w:color w:val="000000" w:themeColor="text1"/>
          <w:sz w:val="24"/>
          <w:szCs w:val="24"/>
          <w:lang w:val="fi-FI"/>
          <w14:textFill>
            <w14:solidFill>
              <w14:schemeClr w14:val="tx1"/>
            </w14:solidFill>
          </w14:textFill>
        </w:rPr>
        <w:t>Program Pelayanan dan Peningkatan Penerimaan PBB Perdesaan dan Perkotaan, terdiri dari 6 kegiatan</w:t>
      </w:r>
      <w:r>
        <w:rPr>
          <w:rFonts w:ascii="Bookman Old Style" w:hAnsi="Bookman Old Style" w:cs="Arial"/>
          <w:color w:val="000000" w:themeColor="text1"/>
          <w:sz w:val="24"/>
          <w:szCs w:val="24"/>
          <w14:textFill>
            <w14:solidFill>
              <w14:schemeClr w14:val="tx1"/>
            </w14:solidFill>
          </w14:textFill>
        </w:rPr>
        <w:t xml:space="preserve">, dengan capaian sebesar </w:t>
      </w:r>
      <w:r>
        <w:rPr>
          <w:rFonts w:ascii="Bookman Old Style" w:hAnsi="Bookman Old Style" w:cs="Arial"/>
          <w:color w:val="000000" w:themeColor="text1"/>
          <w:sz w:val="24"/>
          <w:szCs w:val="24"/>
          <w:lang w:val="zh-CN"/>
          <w14:textFill>
            <w14:solidFill>
              <w14:schemeClr w14:val="tx1"/>
            </w14:solidFill>
          </w14:textFill>
        </w:rPr>
        <w:t>101,87</w:t>
      </w:r>
      <w:r>
        <w:rPr>
          <w:rFonts w:ascii="Bookman Old Style" w:hAnsi="Bookman Old Style" w:cs="Arial"/>
          <w:color w:val="000000" w:themeColor="text1"/>
          <w:sz w:val="24"/>
          <w:szCs w:val="24"/>
          <w14:textFill>
            <w14:solidFill>
              <w14:schemeClr w14:val="tx1"/>
            </w14:solidFill>
          </w14:textFill>
        </w:rPr>
        <w:t>%</w:t>
      </w:r>
      <w:r>
        <w:rPr>
          <w:rFonts w:ascii="Bookman Old Style" w:hAnsi="Bookman Old Style" w:cs="Arial"/>
          <w:color w:val="000000" w:themeColor="text1"/>
          <w:sz w:val="24"/>
          <w:szCs w:val="24"/>
          <w:lang w:val="fi-FI"/>
          <w14:textFill>
            <w14:solidFill>
              <w14:schemeClr w14:val="tx1"/>
            </w14:solidFill>
          </w14:textFill>
        </w:rPr>
        <w:t xml:space="preserve">; dan </w:t>
      </w:r>
    </w:p>
    <w:p>
      <w:pPr>
        <w:pStyle w:val="15"/>
        <w:numPr>
          <w:ilvl w:val="0"/>
          <w:numId w:val="8"/>
        </w:numPr>
        <w:spacing w:line="360" w:lineRule="auto"/>
        <w:ind w:left="993" w:hanging="426"/>
        <w:jc w:val="both"/>
        <w:rPr>
          <w:rFonts w:ascii="Bookman Old Style" w:hAnsi="Bookman Old Style" w:cs="Arial"/>
          <w:color w:val="000000" w:themeColor="text1"/>
          <w:sz w:val="24"/>
          <w:szCs w:val="24"/>
          <w:lang w:val="fi-FI"/>
          <w14:textFill>
            <w14:solidFill>
              <w14:schemeClr w14:val="tx1"/>
            </w14:solidFill>
          </w14:textFill>
        </w:rPr>
      </w:pPr>
      <w:r>
        <w:rPr>
          <w:rFonts w:ascii="Bookman Old Style" w:hAnsi="Bookman Old Style" w:cs="Arial"/>
          <w:color w:val="000000" w:themeColor="text1"/>
          <w:sz w:val="24"/>
          <w:szCs w:val="24"/>
          <w:lang w:val="fi-FI"/>
          <w14:textFill>
            <w14:solidFill>
              <w14:schemeClr w14:val="tx1"/>
            </w14:solidFill>
          </w14:textFill>
        </w:rPr>
        <w:t>Program Pelayanan Penerimaan Pajak BPHTB dan BUMD, terdiri dari 3 (tiga) kegiatan</w:t>
      </w:r>
      <w:r>
        <w:rPr>
          <w:rFonts w:ascii="Bookman Old Style" w:hAnsi="Bookman Old Style" w:cs="Arial"/>
          <w:color w:val="000000" w:themeColor="text1"/>
          <w:sz w:val="24"/>
          <w:szCs w:val="24"/>
          <w14:textFill>
            <w14:solidFill>
              <w14:schemeClr w14:val="tx1"/>
            </w14:solidFill>
          </w14:textFill>
        </w:rPr>
        <w:t xml:space="preserve">, dengan capaian sebesar </w:t>
      </w:r>
      <w:r>
        <w:rPr>
          <w:rFonts w:ascii="Bookman Old Style" w:hAnsi="Bookman Old Style" w:cs="Arial"/>
          <w:color w:val="000000" w:themeColor="text1"/>
          <w:sz w:val="24"/>
          <w:szCs w:val="24"/>
          <w:lang w:val="zh-CN"/>
          <w14:textFill>
            <w14:solidFill>
              <w14:schemeClr w14:val="tx1"/>
            </w14:solidFill>
          </w14:textFill>
        </w:rPr>
        <w:t>151</w:t>
      </w:r>
      <w:r>
        <w:rPr>
          <w:rFonts w:ascii="Bookman Old Style" w:hAnsi="Bookman Old Style" w:cs="Arial"/>
          <w:color w:val="000000" w:themeColor="text1"/>
          <w:sz w:val="24"/>
          <w:szCs w:val="24"/>
          <w14:textFill>
            <w14:solidFill>
              <w14:schemeClr w14:val="tx1"/>
            </w14:solidFill>
          </w14:textFill>
        </w:rPr>
        <w:t>%</w:t>
      </w:r>
      <w:r>
        <w:rPr>
          <w:rFonts w:ascii="Bookman Old Style" w:hAnsi="Bookman Old Style" w:cs="Arial"/>
          <w:color w:val="000000" w:themeColor="text1"/>
          <w:sz w:val="24"/>
          <w:szCs w:val="24"/>
          <w:lang w:val="fi-FI"/>
          <w14:textFill>
            <w14:solidFill>
              <w14:schemeClr w14:val="tx1"/>
            </w14:solidFill>
          </w14:textFill>
        </w:rPr>
        <w:t xml:space="preserve">. </w:t>
      </w:r>
    </w:p>
    <w:p>
      <w:pPr>
        <w:pStyle w:val="18"/>
        <w:tabs>
          <w:tab w:val="left" w:pos="0"/>
          <w:tab w:val="left" w:pos="1134"/>
        </w:tabs>
        <w:ind w:left="993" w:hanging="993"/>
        <w:rPr>
          <w:rFonts w:ascii="Bookman Old Style" w:hAnsi="Bookman Old Style" w:cs="Arial"/>
          <w:b/>
          <w:lang w:val="en-GB"/>
        </w:rPr>
      </w:pPr>
      <w:r>
        <w:rPr>
          <w:rFonts w:ascii="Bookman Old Style" w:hAnsi="Bookman Old Style" w:cs="Arial"/>
          <w:b/>
          <w:lang w:val="en-GB"/>
        </w:rPr>
        <w:t>2.2. Analisis Kinerja Badan Pendapatan Daerah</w:t>
      </w:r>
    </w:p>
    <w:p>
      <w:pPr>
        <w:pStyle w:val="15"/>
        <w:spacing w:line="348" w:lineRule="auto"/>
        <w:ind w:left="567" w:firstLine="567"/>
        <w:jc w:val="both"/>
        <w:rPr>
          <w:rFonts w:ascii="Bookman Old Style" w:hAnsi="Bookman Old Style" w:cs="Arial"/>
          <w:sz w:val="24"/>
          <w:szCs w:val="24"/>
          <w:lang w:val="en-GB"/>
        </w:rPr>
      </w:pPr>
      <w:r>
        <w:rPr>
          <w:rFonts w:ascii="Bookman Old Style" w:hAnsi="Bookman Old Style" w:cs="Arial"/>
          <w:sz w:val="24"/>
          <w:szCs w:val="24"/>
        </w:rPr>
        <w:t>Badan Pendapatan Daerah memiliki obyek pelayanan langsung terhadap masyarakat diantaranya dengan wajib pajak yaitu:</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sv-SE"/>
        </w:rPr>
      </w:pPr>
      <w:r>
        <w:rPr>
          <w:rFonts w:ascii="Bookman Old Style" w:hAnsi="Bookman Old Style" w:cs="Arial"/>
          <w:sz w:val="24"/>
          <w:szCs w:val="24"/>
          <w:lang w:val="sv-SE"/>
        </w:rPr>
        <w:t>Pelaksanaan pemungutan pajak daerah</w:t>
      </w:r>
      <w:r>
        <w:rPr>
          <w:rFonts w:ascii="Bookman Old Style" w:hAnsi="Bookman Old Style" w:cs="Arial"/>
          <w:sz w:val="24"/>
          <w:szCs w:val="24"/>
          <w:lang w:val="id-ID"/>
        </w:rPr>
        <w:t xml:space="preserve"> dan</w:t>
      </w:r>
      <w:r>
        <w:rPr>
          <w:rFonts w:ascii="Bookman Old Style" w:hAnsi="Bookman Old Style" w:cs="Arial"/>
          <w:sz w:val="24"/>
          <w:szCs w:val="24"/>
          <w:lang w:val="sv-SE"/>
        </w:rPr>
        <w:t xml:space="preserve"> retribusi da</w:t>
      </w:r>
      <w:r>
        <w:rPr>
          <w:rFonts w:ascii="Bookman Old Style" w:hAnsi="Bookman Old Style" w:cs="Arial"/>
          <w:sz w:val="24"/>
          <w:szCs w:val="24"/>
          <w:lang w:val="id-ID"/>
        </w:rPr>
        <w:t>erah</w:t>
      </w:r>
      <w:r>
        <w:rPr>
          <w:rFonts w:ascii="Bookman Old Style" w:hAnsi="Bookman Old Style" w:cs="Arial"/>
          <w:sz w:val="24"/>
          <w:szCs w:val="24"/>
          <w:lang w:val="sv-SE"/>
        </w:rPr>
        <w:t>;</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sv-SE"/>
        </w:rPr>
      </w:pPr>
      <w:r>
        <w:rPr>
          <w:rFonts w:ascii="Bookman Old Style" w:hAnsi="Bookman Old Style" w:cs="Arial"/>
          <w:sz w:val="24"/>
          <w:szCs w:val="24"/>
          <w:lang w:val="sv-SE"/>
        </w:rPr>
        <w:t>Pelaksanaan pendataan terhadap wajib pajak</w:t>
      </w:r>
      <w:r>
        <w:rPr>
          <w:rFonts w:ascii="Bookman Old Style" w:hAnsi="Bookman Old Style" w:cs="Arial"/>
          <w:sz w:val="24"/>
          <w:szCs w:val="24"/>
          <w:lang w:val="id-ID"/>
        </w:rPr>
        <w:t xml:space="preserve"> daerah</w:t>
      </w:r>
      <w:r>
        <w:rPr>
          <w:rFonts w:ascii="Bookman Old Style" w:hAnsi="Bookman Old Style" w:cs="Arial"/>
          <w:sz w:val="24"/>
          <w:szCs w:val="24"/>
          <w:lang w:val="sv-SE"/>
        </w:rPr>
        <w:t>, wajib retribusi dan menetapkan besarnya pajak</w:t>
      </w:r>
      <w:r>
        <w:rPr>
          <w:rFonts w:ascii="Bookman Old Style" w:hAnsi="Bookman Old Style" w:cs="Arial"/>
          <w:sz w:val="24"/>
          <w:szCs w:val="24"/>
          <w:lang w:val="id-ID"/>
        </w:rPr>
        <w:t xml:space="preserve"> daerah dan</w:t>
      </w:r>
      <w:r>
        <w:rPr>
          <w:rFonts w:ascii="Bookman Old Style" w:hAnsi="Bookman Old Style" w:cs="Arial"/>
          <w:sz w:val="24"/>
          <w:szCs w:val="24"/>
          <w:lang w:val="sv-SE"/>
        </w:rPr>
        <w:t xml:space="preserve"> retribusi daerah;</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sv-SE"/>
        </w:rPr>
      </w:pPr>
      <w:r>
        <w:rPr>
          <w:rFonts w:ascii="Bookman Old Style" w:hAnsi="Bookman Old Style" w:cs="Arial"/>
          <w:sz w:val="24"/>
          <w:szCs w:val="24"/>
          <w:lang w:val="sv-SE"/>
        </w:rPr>
        <w:t>Pembinaan, pengendalian dan pengevaluasian pelaksanaan pemungutan dan administrasi pajak daerah, retribusi daerah dan lain – lain pendapatan kepada U</w:t>
      </w:r>
      <w:r>
        <w:rPr>
          <w:rFonts w:ascii="Bookman Old Style" w:hAnsi="Bookman Old Style" w:cs="Arial"/>
          <w:sz w:val="24"/>
          <w:szCs w:val="24"/>
          <w:lang w:val="id-ID"/>
        </w:rPr>
        <w:t>PT</w:t>
      </w:r>
      <w:r>
        <w:rPr>
          <w:rFonts w:ascii="Bookman Old Style" w:hAnsi="Bookman Old Style" w:cs="Arial"/>
          <w:sz w:val="24"/>
          <w:szCs w:val="24"/>
          <w:lang w:val="sv-SE"/>
        </w:rPr>
        <w:t>;</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sv-SE"/>
        </w:rPr>
      </w:pPr>
      <w:r>
        <w:rPr>
          <w:rFonts w:ascii="Bookman Old Style" w:hAnsi="Bookman Old Style" w:cs="Arial"/>
          <w:sz w:val="24"/>
          <w:szCs w:val="24"/>
          <w:lang w:val="sv-SE"/>
        </w:rPr>
        <w:t>Penerimaan dan pendistribusian Surat Pemberitahuan Obyek Pajak (SPOP), Surat Pemberitahuan Pajak Terutang (SPPT) serta Daftar Himpunan Ketetapan Pajak (DHKP)  Pajak Bumi dan Bangunankepada Wajib Pajak;</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sv-SE"/>
        </w:rPr>
        <w:t>Pelaksanaan kegiatan penagihan kepada wajib pajak, Wajib Retribusi atas Surat Ketetapan Pajak Daerah (SKPD), Surat Ketetapan Retribusi Daerah (SKRD), Surat Ketetapan Pajak Daerah Kurang Bayar (SKPDKB), Surat Ketetapan Retribusi Daerah Kurang Bayar (SKRDKB) yang melebihi masa jatuh temponya;</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id-ID"/>
        </w:rPr>
        <w:t>Pelaksanaan pelayanan keberatan dan banding Pajak Bumi Bangunan Perdesaan dan Perkotaan (PBB-P2</w:t>
      </w:r>
      <w:r>
        <w:rPr>
          <w:rFonts w:ascii="Bookman Old Style" w:hAnsi="Bookman Old Style" w:cs="Arial"/>
          <w:sz w:val="24"/>
          <w:szCs w:val="24"/>
          <w:lang w:val="en-GB"/>
        </w:rPr>
        <w:t>);</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id-ID"/>
        </w:rPr>
        <w:t>Pelaksanaan pelayanan pembetulan kesalahan tulis, kesalahan hitung dan/atau kekeliruan penerapan ketentuan tertentu dalam pelaksanaan Pajak Bumi dan Bangunan Perdesaan dan Perkotaan (PBB</w:t>
      </w:r>
      <w:r>
        <w:rPr>
          <w:rFonts w:ascii="Bookman Old Style" w:hAnsi="Bookman Old Style" w:cs="Arial"/>
          <w:sz w:val="24"/>
          <w:szCs w:val="24"/>
          <w:lang w:val="en-GB"/>
        </w:rPr>
        <w:t xml:space="preserve"> - </w:t>
      </w:r>
      <w:r>
        <w:rPr>
          <w:rFonts w:ascii="Bookman Old Style" w:hAnsi="Bookman Old Style" w:cs="Arial"/>
          <w:sz w:val="24"/>
          <w:szCs w:val="24"/>
          <w:lang w:val="id-ID"/>
        </w:rPr>
        <w:t>P2)</w:t>
      </w:r>
      <w:r>
        <w:rPr>
          <w:rFonts w:ascii="Bookman Old Style" w:hAnsi="Bookman Old Style" w:cs="Arial"/>
          <w:sz w:val="24"/>
          <w:szCs w:val="24"/>
          <w:lang w:val="en-GB"/>
        </w:rPr>
        <w:t>;</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id-ID"/>
        </w:rPr>
        <w:t>Pelaksanaan pelayanan pengajuan dan penyelesaian pengurangan Pajak Bumi Bangunan Perdesaan dan Perkotaan (PBB</w:t>
      </w:r>
      <w:r>
        <w:rPr>
          <w:rFonts w:ascii="Bookman Old Style" w:hAnsi="Bookman Old Style" w:cs="Arial"/>
          <w:sz w:val="24"/>
          <w:szCs w:val="24"/>
          <w:lang w:val="en-GB"/>
        </w:rPr>
        <w:t xml:space="preserve"> - </w:t>
      </w:r>
      <w:r>
        <w:rPr>
          <w:rFonts w:ascii="Bookman Old Style" w:hAnsi="Bookman Old Style" w:cs="Arial"/>
          <w:sz w:val="24"/>
          <w:szCs w:val="24"/>
          <w:lang w:val="id-ID"/>
        </w:rPr>
        <w:t>P2</w:t>
      </w:r>
      <w:r>
        <w:rPr>
          <w:rFonts w:ascii="Bookman Old Style" w:hAnsi="Bookman Old Style" w:cs="Arial"/>
          <w:sz w:val="24"/>
          <w:szCs w:val="24"/>
          <w:lang w:val="en-GB"/>
        </w:rPr>
        <w:t>);</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id-ID"/>
        </w:rPr>
        <w:t>Pelaksanaan pelayanan pengurangan atau penghapusan sanksi administrasi Pajak Bumi Bangunan Perdesaan dan Perkotaan(PBB</w:t>
      </w:r>
      <w:r>
        <w:rPr>
          <w:rFonts w:ascii="Bookman Old Style" w:hAnsi="Bookman Old Style" w:cs="Arial"/>
          <w:sz w:val="24"/>
          <w:szCs w:val="24"/>
          <w:lang w:val="en-GB"/>
        </w:rPr>
        <w:t xml:space="preserve"> - </w:t>
      </w:r>
      <w:r>
        <w:rPr>
          <w:rFonts w:ascii="Bookman Old Style" w:hAnsi="Bookman Old Style" w:cs="Arial"/>
          <w:sz w:val="24"/>
          <w:szCs w:val="24"/>
          <w:lang w:val="id-ID"/>
        </w:rPr>
        <w:t>P2)</w:t>
      </w:r>
      <w:r>
        <w:rPr>
          <w:rFonts w:ascii="Bookman Old Style" w:hAnsi="Bookman Old Style" w:cs="Arial"/>
          <w:sz w:val="24"/>
          <w:szCs w:val="24"/>
          <w:lang w:val="en-GB"/>
        </w:rPr>
        <w:t>;</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id-ID"/>
        </w:rPr>
        <w:t>Pelaksanaan pelayanan pembatalan ketetapan Pajak Bumi Bangunan Perdesaan dan Perkotaan (PBB</w:t>
      </w:r>
      <w:r>
        <w:rPr>
          <w:rFonts w:ascii="Bookman Old Style" w:hAnsi="Bookman Old Style" w:cs="Arial"/>
          <w:sz w:val="24"/>
          <w:szCs w:val="24"/>
          <w:lang w:val="en-GB"/>
        </w:rPr>
        <w:t xml:space="preserve"> - </w:t>
      </w:r>
      <w:r>
        <w:rPr>
          <w:rFonts w:ascii="Bookman Old Style" w:hAnsi="Bookman Old Style" w:cs="Arial"/>
          <w:sz w:val="24"/>
          <w:szCs w:val="24"/>
          <w:lang w:val="id-ID"/>
        </w:rPr>
        <w:t>P2)</w:t>
      </w:r>
      <w:r>
        <w:rPr>
          <w:rFonts w:ascii="Bookman Old Style" w:hAnsi="Bookman Old Style" w:cs="Arial"/>
          <w:sz w:val="24"/>
          <w:szCs w:val="24"/>
          <w:lang w:val="en-GB"/>
        </w:rPr>
        <w:t>;</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Pelaksanaan pelayanan pengisian dan penghitungan Surat Setoran Pajak Daerah (SSPD) Bea Perolehan Hak Atas Tanah dan Bangunan (BPHTB);</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Pelaksanaan pembayaran Bea Perolehan Hak Atas Tanah dan Bangunan (BPHTB);</w:t>
      </w:r>
    </w:p>
    <w:p>
      <w:pPr>
        <w:numPr>
          <w:ilvl w:val="0"/>
          <w:numId w:val="9"/>
        </w:numPr>
        <w:tabs>
          <w:tab w:val="left" w:pos="993"/>
          <w:tab w:val="clear" w:pos="648"/>
        </w:tabs>
        <w:suppressAutoHyphens/>
        <w:spacing w:after="0" w:line="348"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Pelaksanaan penelitian verifikasi lapangan Surat Setoran Pajak Daerah (SSPD) Bea Perolehan Hak Atas Tanah dan Bangunan (BPHTB);</w:t>
      </w:r>
    </w:p>
    <w:p>
      <w:pPr>
        <w:numPr>
          <w:ilvl w:val="0"/>
          <w:numId w:val="9"/>
        </w:numPr>
        <w:tabs>
          <w:tab w:val="left" w:pos="993"/>
          <w:tab w:val="clear" w:pos="648"/>
        </w:tabs>
        <w:suppressAutoHyphens/>
        <w:spacing w:after="0" w:line="360"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Pelaksanaan pengurangan Bea Perolehan Hak Atas Tanah dan Bangunan (BPHTB);</w:t>
      </w:r>
    </w:p>
    <w:p>
      <w:pPr>
        <w:numPr>
          <w:ilvl w:val="0"/>
          <w:numId w:val="9"/>
        </w:numPr>
        <w:tabs>
          <w:tab w:val="left" w:pos="993"/>
          <w:tab w:val="clear" w:pos="648"/>
        </w:tabs>
        <w:suppressAutoHyphens/>
        <w:spacing w:after="0" w:line="360"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Pelaksanaan pembetulan Bea Perolehan Hak Atas Tanah dan Bangunan (BPHTB);</w:t>
      </w:r>
    </w:p>
    <w:p>
      <w:pPr>
        <w:numPr>
          <w:ilvl w:val="0"/>
          <w:numId w:val="9"/>
        </w:numPr>
        <w:tabs>
          <w:tab w:val="left" w:pos="993"/>
          <w:tab w:val="clear" w:pos="648"/>
        </w:tabs>
        <w:suppressAutoHyphens/>
        <w:spacing w:after="0" w:line="360"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Pelaksanaan pembayaran kembali kelebihan Bea Perolehan Hak Atas Tanah dan Bangunan (BPHTB);</w:t>
      </w:r>
    </w:p>
    <w:p>
      <w:pPr>
        <w:numPr>
          <w:ilvl w:val="0"/>
          <w:numId w:val="9"/>
        </w:numPr>
        <w:tabs>
          <w:tab w:val="left" w:pos="993"/>
          <w:tab w:val="clear" w:pos="648"/>
        </w:tabs>
        <w:suppressAutoHyphens/>
        <w:spacing w:after="0" w:line="360"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Pelaksanaan penagihan pajak daerah selain PBB-P2 dan retribusidaerah yang telah melampaui batas waktu jatuh tempo;</w:t>
      </w:r>
    </w:p>
    <w:p>
      <w:pPr>
        <w:numPr>
          <w:ilvl w:val="0"/>
          <w:numId w:val="9"/>
        </w:numPr>
        <w:tabs>
          <w:tab w:val="left" w:pos="993"/>
          <w:tab w:val="clear" w:pos="648"/>
        </w:tabs>
        <w:suppressAutoHyphens/>
        <w:spacing w:after="0" w:line="360"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Pelaksanaan pemeriksaan pajak dalam menguji kepatuhan wajib pajak dalam memenuhi kewajibannya dan melakukan pengendalian operasional sesuai dengan ketentuan perpajakan daerah;</w:t>
      </w:r>
    </w:p>
    <w:p>
      <w:pPr>
        <w:numPr>
          <w:ilvl w:val="0"/>
          <w:numId w:val="9"/>
        </w:numPr>
        <w:tabs>
          <w:tab w:val="left" w:pos="993"/>
          <w:tab w:val="clear" w:pos="648"/>
        </w:tabs>
        <w:suppressAutoHyphens/>
        <w:spacing w:after="0" w:line="360"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Pelaksanaan laporan realisasi pencairan tunggakan pajak daerah dan retribusi daerah beserta penyetorannya ke Kas Daerah;</w:t>
      </w:r>
    </w:p>
    <w:p>
      <w:pPr>
        <w:numPr>
          <w:ilvl w:val="0"/>
          <w:numId w:val="9"/>
        </w:numPr>
        <w:tabs>
          <w:tab w:val="left" w:pos="993"/>
          <w:tab w:val="clear" w:pos="648"/>
        </w:tabs>
        <w:suppressAutoHyphens/>
        <w:spacing w:after="0" w:line="360"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Koordinasi dan melayani permohonan keberatan dan banding;</w:t>
      </w:r>
    </w:p>
    <w:p>
      <w:pPr>
        <w:numPr>
          <w:ilvl w:val="0"/>
          <w:numId w:val="9"/>
        </w:numPr>
        <w:tabs>
          <w:tab w:val="left" w:pos="993"/>
          <w:tab w:val="clear" w:pos="648"/>
        </w:tabs>
        <w:suppressAutoHyphens/>
        <w:spacing w:after="0" w:line="360" w:lineRule="auto"/>
        <w:ind w:left="993" w:hanging="426"/>
        <w:jc w:val="both"/>
        <w:rPr>
          <w:rFonts w:ascii="Bookman Old Style" w:hAnsi="Bookman Old Style" w:cs="Arial"/>
          <w:sz w:val="24"/>
          <w:szCs w:val="24"/>
          <w:lang w:val="id-ID"/>
        </w:rPr>
      </w:pPr>
      <w:r>
        <w:rPr>
          <w:rFonts w:ascii="Bookman Old Style" w:hAnsi="Bookman Old Style" w:cs="Arial"/>
          <w:sz w:val="24"/>
          <w:szCs w:val="24"/>
          <w:lang w:val="en-GB"/>
        </w:rPr>
        <w:t>Pelaksanaan pengendalian operasional dan pengawasan internal terkait dengan pelaksanaan pemungutan Pajak Daerah.</w:t>
      </w:r>
    </w:p>
    <w:p>
      <w:pPr>
        <w:spacing w:after="0" w:line="360" w:lineRule="auto"/>
        <w:ind w:left="567" w:firstLine="567"/>
        <w:jc w:val="both"/>
        <w:rPr>
          <w:rFonts w:ascii="Bookman Old Style" w:hAnsi="Bookman Old Style" w:cs="Arial"/>
          <w:sz w:val="24"/>
          <w:szCs w:val="24"/>
          <w:lang w:val="id-ID"/>
        </w:rPr>
      </w:pPr>
      <w:r>
        <w:rPr>
          <w:rFonts w:ascii="Bookman Old Style" w:hAnsi="Bookman Old Style" w:cs="Arial"/>
          <w:sz w:val="24"/>
          <w:szCs w:val="24"/>
          <w:lang w:val="sv-SE"/>
        </w:rPr>
        <w:t xml:space="preserve">Unit Pelaksana Teknis (UPT) </w:t>
      </w:r>
      <w:r>
        <w:rPr>
          <w:rFonts w:ascii="Bookman Old Style" w:hAnsi="Bookman Old Style" w:cs="Arial"/>
          <w:sz w:val="24"/>
          <w:szCs w:val="24"/>
          <w:lang w:val="id-ID"/>
        </w:rPr>
        <w:t xml:space="preserve">Badan Pendapatan Daerah </w:t>
      </w:r>
      <w:r>
        <w:rPr>
          <w:rFonts w:ascii="Bookman Old Style" w:hAnsi="Bookman Old Style" w:cs="Arial"/>
          <w:sz w:val="24"/>
          <w:szCs w:val="24"/>
          <w:lang w:val="sv-SE"/>
        </w:rPr>
        <w:t xml:space="preserve">juga memiliki peran yang sama dengan Bidang </w:t>
      </w:r>
      <w:r>
        <w:rPr>
          <w:rFonts w:ascii="Bookman Old Style" w:hAnsi="Bookman Old Style" w:cs="Arial"/>
          <w:sz w:val="24"/>
          <w:szCs w:val="24"/>
          <w:lang w:val="id-ID"/>
        </w:rPr>
        <w:t xml:space="preserve">Pajak Daerah </w:t>
      </w:r>
      <w:r>
        <w:rPr>
          <w:rFonts w:ascii="Bookman Old Style" w:hAnsi="Bookman Old Style" w:cs="Arial"/>
          <w:sz w:val="24"/>
          <w:szCs w:val="24"/>
          <w:lang w:val="en-GB"/>
        </w:rPr>
        <w:t>dan</w:t>
      </w:r>
      <w:r>
        <w:rPr>
          <w:rFonts w:ascii="Bookman Old Style" w:hAnsi="Bookman Old Style" w:cs="Arial"/>
          <w:sz w:val="24"/>
          <w:szCs w:val="24"/>
          <w:lang w:val="id-ID"/>
        </w:rPr>
        <w:t xml:space="preserve"> Retribusi Daerah, Bidang PBB</w:t>
      </w:r>
      <w:r>
        <w:rPr>
          <w:rFonts w:ascii="Bookman Old Style" w:hAnsi="Bookman Old Style" w:cs="Arial"/>
          <w:sz w:val="24"/>
          <w:szCs w:val="24"/>
          <w:lang w:val="en-GB"/>
        </w:rPr>
        <w:t xml:space="preserve"> – P2</w:t>
      </w:r>
      <w:r>
        <w:rPr>
          <w:rFonts w:ascii="Bookman Old Style" w:hAnsi="Bookman Old Style" w:cs="Arial"/>
          <w:sz w:val="24"/>
          <w:szCs w:val="24"/>
          <w:lang w:val="sv-SE"/>
        </w:rPr>
        <w:t xml:space="preserve"> tentang pelayanan langsung terhadap Wajib Pajak</w:t>
      </w:r>
      <w:r>
        <w:rPr>
          <w:rFonts w:ascii="Bookman Old Style" w:hAnsi="Bookman Old Style" w:cs="Arial"/>
          <w:sz w:val="24"/>
          <w:szCs w:val="24"/>
          <w:lang w:val="id-ID"/>
        </w:rPr>
        <w:t>, yaitu</w:t>
      </w:r>
      <w:r>
        <w:rPr>
          <w:rFonts w:ascii="Bookman Old Style" w:hAnsi="Bookman Old Style" w:cs="Arial"/>
          <w:sz w:val="24"/>
          <w:szCs w:val="24"/>
          <w:lang w:val="sv-SE"/>
        </w:rPr>
        <w:t>:</w:t>
      </w:r>
    </w:p>
    <w:p>
      <w:pPr>
        <w:pStyle w:val="18"/>
        <w:numPr>
          <w:ilvl w:val="0"/>
          <w:numId w:val="10"/>
        </w:numPr>
        <w:spacing w:before="0"/>
        <w:ind w:left="993" w:hanging="426"/>
        <w:rPr>
          <w:rFonts w:ascii="Bookman Old Style" w:hAnsi="Bookman Old Style" w:cs="Arial"/>
          <w:lang w:val="id-ID"/>
        </w:rPr>
      </w:pPr>
      <w:r>
        <w:rPr>
          <w:rFonts w:ascii="Bookman Old Style" w:hAnsi="Bookman Old Style" w:cs="Arial"/>
          <w:lang w:val="sv-SE"/>
        </w:rPr>
        <w:t xml:space="preserve">Menerima Surat Tanda Terima Setoran </w:t>
      </w:r>
      <w:r>
        <w:rPr>
          <w:rFonts w:ascii="Bookman Old Style" w:hAnsi="Bookman Old Style" w:cs="Arial"/>
          <w:lang w:val="id-ID"/>
        </w:rPr>
        <w:t>(</w:t>
      </w:r>
      <w:r>
        <w:rPr>
          <w:rFonts w:ascii="Bookman Old Style" w:hAnsi="Bookman Old Style" w:cs="Arial"/>
          <w:lang w:val="sv-SE"/>
        </w:rPr>
        <w:t>STTS) dan Daftar Himpunan Ketetapan  Pajak (DHKP) P</w:t>
      </w:r>
      <w:r>
        <w:rPr>
          <w:rFonts w:ascii="Bookman Old Style" w:hAnsi="Bookman Old Style" w:cs="Arial"/>
          <w:lang w:val="id-ID"/>
        </w:rPr>
        <w:t xml:space="preserve">ajak </w:t>
      </w:r>
      <w:r>
        <w:rPr>
          <w:rFonts w:ascii="Bookman Old Style" w:hAnsi="Bookman Old Style" w:cs="Arial"/>
          <w:lang w:val="sv-SE"/>
        </w:rPr>
        <w:t>B</w:t>
      </w:r>
      <w:r>
        <w:rPr>
          <w:rFonts w:ascii="Bookman Old Style" w:hAnsi="Bookman Old Style" w:cs="Arial"/>
          <w:lang w:val="id-ID"/>
        </w:rPr>
        <w:t xml:space="preserve">umi dan </w:t>
      </w:r>
      <w:r>
        <w:rPr>
          <w:rFonts w:ascii="Bookman Old Style" w:hAnsi="Bookman Old Style" w:cs="Arial"/>
          <w:lang w:val="sv-SE"/>
        </w:rPr>
        <w:t>B</w:t>
      </w:r>
      <w:r>
        <w:rPr>
          <w:rFonts w:ascii="Bookman Old Style" w:hAnsi="Bookman Old Style" w:cs="Arial"/>
          <w:lang w:val="id-ID"/>
        </w:rPr>
        <w:t>angunan</w:t>
      </w:r>
      <w:r>
        <w:rPr>
          <w:rFonts w:ascii="Bookman Old Style" w:hAnsi="Bookman Old Style" w:cs="Arial"/>
          <w:lang w:val="sv-SE"/>
        </w:rPr>
        <w:t xml:space="preserve"> dari Bank Persepsi dengan Berita Acara;</w:t>
      </w:r>
    </w:p>
    <w:p>
      <w:pPr>
        <w:pStyle w:val="18"/>
        <w:numPr>
          <w:ilvl w:val="0"/>
          <w:numId w:val="10"/>
        </w:numPr>
        <w:spacing w:before="0"/>
        <w:ind w:left="993" w:hanging="426"/>
        <w:rPr>
          <w:rFonts w:ascii="Bookman Old Style" w:hAnsi="Bookman Old Style" w:cs="Arial"/>
          <w:lang w:val="id-ID"/>
        </w:rPr>
      </w:pPr>
      <w:r>
        <w:rPr>
          <w:rFonts w:ascii="Bookman Old Style" w:hAnsi="Bookman Old Style" w:cs="Arial"/>
          <w:lang w:val="sv-SE"/>
        </w:rPr>
        <w:t>Menerima Pembayaran P</w:t>
      </w:r>
      <w:r>
        <w:rPr>
          <w:rFonts w:ascii="Bookman Old Style" w:hAnsi="Bookman Old Style" w:cs="Arial"/>
          <w:lang w:val="id-ID"/>
        </w:rPr>
        <w:t xml:space="preserve">ajak </w:t>
      </w:r>
      <w:r>
        <w:rPr>
          <w:rFonts w:ascii="Bookman Old Style" w:hAnsi="Bookman Old Style" w:cs="Arial"/>
          <w:lang w:val="sv-SE"/>
        </w:rPr>
        <w:t>B</w:t>
      </w:r>
      <w:r>
        <w:rPr>
          <w:rFonts w:ascii="Bookman Old Style" w:hAnsi="Bookman Old Style" w:cs="Arial"/>
          <w:lang w:val="id-ID"/>
        </w:rPr>
        <w:t xml:space="preserve">umi dan </w:t>
      </w:r>
      <w:r>
        <w:rPr>
          <w:rFonts w:ascii="Bookman Old Style" w:hAnsi="Bookman Old Style" w:cs="Arial"/>
          <w:lang w:val="sv-SE"/>
        </w:rPr>
        <w:t>B</w:t>
      </w:r>
      <w:r>
        <w:rPr>
          <w:rFonts w:ascii="Bookman Old Style" w:hAnsi="Bookman Old Style" w:cs="Arial"/>
          <w:lang w:val="id-ID"/>
        </w:rPr>
        <w:t>angunan</w:t>
      </w:r>
      <w:r>
        <w:rPr>
          <w:rFonts w:ascii="Bookman Old Style" w:hAnsi="Bookman Old Style" w:cs="Arial"/>
          <w:lang w:val="sv-SE"/>
        </w:rPr>
        <w:t xml:space="preserve"> terutama dari Wajib Pajak;</w:t>
      </w:r>
    </w:p>
    <w:p>
      <w:pPr>
        <w:pStyle w:val="18"/>
        <w:numPr>
          <w:ilvl w:val="0"/>
          <w:numId w:val="10"/>
        </w:numPr>
        <w:spacing w:before="0"/>
        <w:ind w:left="993" w:hanging="426"/>
        <w:rPr>
          <w:rFonts w:ascii="Bookman Old Style" w:hAnsi="Bookman Old Style" w:cs="Arial"/>
          <w:lang w:val="id-ID"/>
        </w:rPr>
      </w:pPr>
      <w:r>
        <w:rPr>
          <w:rFonts w:ascii="Bookman Old Style" w:hAnsi="Bookman Old Style" w:cs="Arial"/>
          <w:lang w:val="sv-SE"/>
        </w:rPr>
        <w:t>Menyerahkan Lembar S</w:t>
      </w:r>
      <w:r>
        <w:rPr>
          <w:rFonts w:ascii="Bookman Old Style" w:hAnsi="Bookman Old Style" w:cs="Arial"/>
          <w:lang w:val="id-ID"/>
        </w:rPr>
        <w:t xml:space="preserve">urat </w:t>
      </w:r>
      <w:r>
        <w:rPr>
          <w:rFonts w:ascii="Bookman Old Style" w:hAnsi="Bookman Old Style" w:cs="Arial"/>
          <w:lang w:val="sv-SE"/>
        </w:rPr>
        <w:t>T</w:t>
      </w:r>
      <w:r>
        <w:rPr>
          <w:rFonts w:ascii="Bookman Old Style" w:hAnsi="Bookman Old Style" w:cs="Arial"/>
          <w:lang w:val="id-ID"/>
        </w:rPr>
        <w:t xml:space="preserve">anda </w:t>
      </w:r>
      <w:r>
        <w:rPr>
          <w:rFonts w:ascii="Bookman Old Style" w:hAnsi="Bookman Old Style" w:cs="Arial"/>
          <w:lang w:val="sv-SE"/>
        </w:rPr>
        <w:t>T</w:t>
      </w:r>
      <w:r>
        <w:rPr>
          <w:rFonts w:ascii="Bookman Old Style" w:hAnsi="Bookman Old Style" w:cs="Arial"/>
          <w:lang w:val="id-ID"/>
        </w:rPr>
        <w:t xml:space="preserve">erima </w:t>
      </w:r>
      <w:r>
        <w:rPr>
          <w:rFonts w:ascii="Bookman Old Style" w:hAnsi="Bookman Old Style" w:cs="Arial"/>
          <w:lang w:val="sv-SE"/>
        </w:rPr>
        <w:t>S</w:t>
      </w:r>
      <w:r>
        <w:rPr>
          <w:rFonts w:ascii="Bookman Old Style" w:hAnsi="Bookman Old Style" w:cs="Arial"/>
          <w:lang w:val="id-ID"/>
        </w:rPr>
        <w:t>etoran (STTS)</w:t>
      </w:r>
      <w:r>
        <w:rPr>
          <w:rFonts w:ascii="Bookman Old Style" w:hAnsi="Bookman Old Style" w:cs="Arial"/>
          <w:lang w:val="sv-SE"/>
        </w:rPr>
        <w:t xml:space="preserve"> untuk Wajib Pajak yang </w:t>
      </w:r>
      <w:r>
        <w:rPr>
          <w:rFonts w:ascii="Bookman Old Style" w:hAnsi="Bookman Old Style" w:cs="Arial"/>
          <w:lang w:val="id-ID"/>
        </w:rPr>
        <w:t>Pajak Bumi dan Bangunan</w:t>
      </w:r>
      <w:r>
        <w:rPr>
          <w:rFonts w:ascii="Bookman Old Style" w:hAnsi="Bookman Old Style" w:cs="Arial"/>
          <w:lang w:val="sv-SE"/>
        </w:rPr>
        <w:t>nya telah dibayar kepada Wajib Pajak;</w:t>
      </w:r>
    </w:p>
    <w:p>
      <w:pPr>
        <w:pStyle w:val="18"/>
        <w:numPr>
          <w:ilvl w:val="0"/>
          <w:numId w:val="10"/>
        </w:numPr>
        <w:spacing w:before="0"/>
        <w:ind w:left="993" w:hanging="426"/>
        <w:rPr>
          <w:rFonts w:ascii="Bookman Old Style" w:hAnsi="Bookman Old Style" w:cs="Arial"/>
          <w:lang w:val="id-ID"/>
        </w:rPr>
      </w:pPr>
      <w:r>
        <w:rPr>
          <w:rFonts w:ascii="Bookman Old Style" w:hAnsi="Bookman Old Style" w:cs="Arial"/>
          <w:lang w:val="sv-SE"/>
        </w:rPr>
        <w:t xml:space="preserve">Menerima setoran uang hasil penerimaan pembayaran </w:t>
      </w:r>
      <w:r>
        <w:rPr>
          <w:rFonts w:ascii="Bookman Old Style" w:hAnsi="Bookman Old Style" w:cs="Arial"/>
          <w:lang w:val="id-ID"/>
        </w:rPr>
        <w:t xml:space="preserve">Pajak Bumi dan Bangunan </w:t>
      </w:r>
      <w:r>
        <w:rPr>
          <w:rFonts w:ascii="Bookman Old Style" w:hAnsi="Bookman Old Style" w:cs="Arial"/>
          <w:lang w:val="sv-SE"/>
        </w:rPr>
        <w:t>dari  petugas Pemungut.</w:t>
      </w:r>
    </w:p>
    <w:p>
      <w:pPr>
        <w:pStyle w:val="18"/>
        <w:spacing w:before="0"/>
        <w:ind w:left="993"/>
        <w:rPr>
          <w:rFonts w:ascii="Bookman Old Style" w:hAnsi="Bookman Old Style" w:cs="Arial"/>
          <w:lang w:val="id-ID"/>
        </w:rPr>
      </w:pPr>
    </w:p>
    <w:p>
      <w:pPr>
        <w:spacing w:after="0" w:line="360" w:lineRule="auto"/>
        <w:ind w:left="567" w:firstLine="567"/>
        <w:jc w:val="both"/>
        <w:rPr>
          <w:rFonts w:ascii="Bookman Old Style" w:hAnsi="Bookman Old Style" w:cs="Arial"/>
          <w:sz w:val="24"/>
          <w:szCs w:val="24"/>
        </w:rPr>
        <w:sectPr>
          <w:pgSz w:w="12191" w:h="18711"/>
          <w:pgMar w:top="1418" w:right="1418" w:bottom="1418" w:left="1418" w:header="706" w:footer="706" w:gutter="0"/>
          <w:cols w:space="708" w:num="1"/>
          <w:titlePg/>
          <w:docGrid w:linePitch="360" w:charSpace="0"/>
        </w:sectPr>
      </w:pPr>
      <w:r>
        <w:rPr>
          <w:rFonts w:ascii="Bookman Old Style" w:hAnsi="Bookman Old Style" w:cs="Arial"/>
          <w:sz w:val="24"/>
          <w:szCs w:val="24"/>
        </w:rPr>
        <w:t xml:space="preserve">Kinerja pelayanan </w:t>
      </w:r>
      <w:r>
        <w:rPr>
          <w:rFonts w:ascii="Bookman Old Style" w:hAnsi="Bookman Old Style" w:cs="Arial"/>
          <w:sz w:val="24"/>
          <w:szCs w:val="24"/>
          <w:lang w:val="id-ID"/>
        </w:rPr>
        <w:t>Badan Pendapatan Daerah</w:t>
      </w:r>
      <w:r>
        <w:rPr>
          <w:rFonts w:ascii="Bookman Old Style" w:hAnsi="Bookman Old Style" w:cs="Arial"/>
          <w:sz w:val="24"/>
          <w:szCs w:val="24"/>
        </w:rPr>
        <w:t xml:space="preserve"> tahun 201</w:t>
      </w:r>
      <w:r>
        <w:rPr>
          <w:rFonts w:ascii="Bookman Old Style" w:hAnsi="Bookman Old Style" w:cs="Arial"/>
          <w:sz w:val="24"/>
          <w:szCs w:val="24"/>
          <w:lang w:val="id-ID"/>
        </w:rPr>
        <w:t>7</w:t>
      </w:r>
      <w:r>
        <w:rPr>
          <w:rFonts w:ascii="Bookman Old Style" w:hAnsi="Bookman Old Style" w:cs="Arial"/>
          <w:sz w:val="24"/>
          <w:szCs w:val="24"/>
        </w:rPr>
        <w:t xml:space="preserve">-2018 juga dapat diukur dari pencapaian Indikator Kinerja Utama dan Indikator Kinerja Kunci sebagaimana disajikan dalam </w:t>
      </w:r>
      <w:r>
        <w:rPr>
          <w:rFonts w:ascii="Bookman Old Style" w:hAnsi="Bookman Old Style" w:cs="Arial"/>
          <w:b/>
          <w:sz w:val="24"/>
          <w:szCs w:val="24"/>
        </w:rPr>
        <w:t>Tabel 2.2.</w:t>
      </w:r>
      <w:r>
        <w:rPr>
          <w:rFonts w:ascii="Bookman Old Style" w:hAnsi="Bookman Old Style" w:cs="Arial"/>
          <w:sz w:val="24"/>
          <w:szCs w:val="24"/>
          <w:lang w:val="id-ID"/>
        </w:rPr>
        <w:t>P</w:t>
      </w:r>
      <w:r>
        <w:rPr>
          <w:rFonts w:ascii="Bookman Old Style" w:hAnsi="Bookman Old Style" w:cs="Arial"/>
          <w:sz w:val="24"/>
          <w:szCs w:val="24"/>
        </w:rPr>
        <w:t>ada tabel 2.2 juga disajikan proyeksi pencapaian kinerja pelayanan untuk tahun 20</w:t>
      </w:r>
      <w:r>
        <w:rPr>
          <w:rFonts w:ascii="Bookman Old Style" w:hAnsi="Bookman Old Style" w:cs="Arial"/>
          <w:sz w:val="24"/>
          <w:szCs w:val="24"/>
          <w:lang w:val="id-ID"/>
        </w:rPr>
        <w:t>20</w:t>
      </w:r>
      <w:r>
        <w:rPr>
          <w:rFonts w:ascii="Bookman Old Style" w:hAnsi="Bookman Old Style" w:cs="Arial"/>
          <w:sz w:val="24"/>
          <w:szCs w:val="24"/>
        </w:rPr>
        <w:t xml:space="preserve"> dan 2021.</w:t>
      </w:r>
      <w:bookmarkStart w:id="0" w:name="RANGE!A1:O69"/>
    </w:p>
    <w:tbl>
      <w:tblPr>
        <w:tblStyle w:val="12"/>
        <w:tblW w:w="17433" w:type="dxa"/>
        <w:tblInd w:w="909" w:type="dxa"/>
        <w:tblLayout w:type="fixed"/>
        <w:tblCellMar>
          <w:top w:w="0" w:type="dxa"/>
          <w:left w:w="108" w:type="dxa"/>
          <w:bottom w:w="0" w:type="dxa"/>
          <w:right w:w="108" w:type="dxa"/>
        </w:tblCellMar>
      </w:tblPr>
      <w:tblGrid>
        <w:gridCol w:w="1719"/>
        <w:gridCol w:w="2593"/>
        <w:gridCol w:w="1233"/>
        <w:gridCol w:w="656"/>
        <w:gridCol w:w="1422"/>
        <w:gridCol w:w="1422"/>
        <w:gridCol w:w="1165"/>
        <w:gridCol w:w="1165"/>
        <w:gridCol w:w="1260"/>
        <w:gridCol w:w="1260"/>
        <w:gridCol w:w="1260"/>
        <w:gridCol w:w="1278"/>
        <w:gridCol w:w="1000"/>
      </w:tblGrid>
      <w:tr>
        <w:tblPrEx>
          <w:tblCellMar>
            <w:top w:w="0" w:type="dxa"/>
            <w:left w:w="108" w:type="dxa"/>
            <w:bottom w:w="0" w:type="dxa"/>
            <w:right w:w="108" w:type="dxa"/>
          </w:tblCellMar>
        </w:tblPrEx>
        <w:trPr>
          <w:trHeight w:val="500" w:hRule="atLeast"/>
        </w:trPr>
        <w:tc>
          <w:tcPr>
            <w:tcW w:w="17433" w:type="dxa"/>
            <w:gridSpan w:val="13"/>
            <w:tcBorders>
              <w:bottom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Tabel 2.2</w:t>
            </w:r>
            <w:bookmarkEnd w:id="0"/>
          </w:p>
        </w:tc>
      </w:tr>
      <w:tr>
        <w:tblPrEx>
          <w:tblCellMar>
            <w:top w:w="0" w:type="dxa"/>
            <w:left w:w="108" w:type="dxa"/>
            <w:bottom w:w="0" w:type="dxa"/>
            <w:right w:w="108" w:type="dxa"/>
          </w:tblCellMar>
        </w:tblPrEx>
        <w:trPr>
          <w:trHeight w:val="500" w:hRule="atLeast"/>
        </w:trPr>
        <w:tc>
          <w:tcPr>
            <w:tcW w:w="17433" w:type="dxa"/>
            <w:gridSpan w:val="13"/>
            <w:tcBorders>
              <w:top w:val="nil"/>
              <w:bottom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Pencapaian Kinerja Pelayanan Badan Pendapatan Daerah</w:t>
            </w:r>
          </w:p>
        </w:tc>
      </w:tr>
      <w:tr>
        <w:tblPrEx>
          <w:tblCellMar>
            <w:top w:w="0" w:type="dxa"/>
            <w:left w:w="108" w:type="dxa"/>
            <w:bottom w:w="0" w:type="dxa"/>
            <w:right w:w="108" w:type="dxa"/>
          </w:tblCellMar>
        </w:tblPrEx>
        <w:trPr>
          <w:trHeight w:val="500" w:hRule="atLeast"/>
        </w:trPr>
        <w:tc>
          <w:tcPr>
            <w:tcW w:w="17433" w:type="dxa"/>
            <w:gridSpan w:val="13"/>
            <w:tcBorders>
              <w:top w:val="nil"/>
              <w:bottom w:val="nil"/>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Kabupaten Malang</w:t>
            </w:r>
          </w:p>
        </w:tc>
      </w:tr>
      <w:tr>
        <w:tblPrEx>
          <w:tblCellMar>
            <w:top w:w="0" w:type="dxa"/>
            <w:left w:w="108" w:type="dxa"/>
            <w:bottom w:w="0" w:type="dxa"/>
            <w:right w:w="108" w:type="dxa"/>
          </w:tblCellMar>
        </w:tblPrEx>
        <w:trPr>
          <w:trHeight w:val="500" w:hRule="atLeast"/>
        </w:trPr>
        <w:tc>
          <w:tcPr>
            <w:tcW w:w="1719" w:type="dxa"/>
            <w:tcBorders>
              <w:top w:val="nil"/>
              <w:bottom w:val="single" w:color="auto" w:sz="4" w:space="0"/>
              <w:right w:val="nil"/>
            </w:tcBorders>
            <w:shd w:val="clear" w:color="auto" w:fill="auto"/>
            <w:noWrap/>
            <w:vAlign w:val="bottom"/>
          </w:tcPr>
          <w:p>
            <w:pPr>
              <w:spacing w:after="0" w:line="240" w:lineRule="auto"/>
              <w:jc w:val="center"/>
              <w:rPr>
                <w:rFonts w:ascii="Bookman Old Style" w:hAnsi="Bookman Old Style" w:eastAsia="Times New Roman" w:cs="Calibri"/>
                <w:b/>
                <w:bCs/>
                <w:color w:val="000000"/>
                <w:sz w:val="18"/>
                <w:szCs w:val="18"/>
              </w:rPr>
            </w:pPr>
          </w:p>
        </w:tc>
        <w:tc>
          <w:tcPr>
            <w:tcW w:w="2593" w:type="dxa"/>
            <w:tcBorders>
              <w:top w:val="nil"/>
              <w:left w:val="nil"/>
              <w:bottom w:val="single" w:color="auto" w:sz="4" w:space="0"/>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233" w:type="dxa"/>
            <w:tcBorders>
              <w:top w:val="nil"/>
              <w:left w:val="nil"/>
              <w:bottom w:val="single" w:color="auto" w:sz="4" w:space="0"/>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656" w:type="dxa"/>
            <w:tcBorders>
              <w:top w:val="nil"/>
              <w:left w:val="nil"/>
              <w:bottom w:val="single" w:color="auto" w:sz="4" w:space="0"/>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422" w:type="dxa"/>
            <w:tcBorders>
              <w:top w:val="nil"/>
              <w:left w:val="nil"/>
              <w:bottom w:val="single" w:color="auto" w:sz="4" w:space="0"/>
              <w:right w:val="nil"/>
            </w:tcBorders>
            <w:shd w:val="clear" w:color="000000" w:fill="FFFFFF"/>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422" w:type="dxa"/>
            <w:tcBorders>
              <w:top w:val="nil"/>
              <w:left w:val="nil"/>
              <w:bottom w:val="single" w:color="auto" w:sz="4" w:space="0"/>
              <w:right w:val="nil"/>
            </w:tcBorders>
            <w:shd w:val="clear" w:color="auto" w:fill="auto"/>
            <w:vAlign w:val="bottom"/>
          </w:tcPr>
          <w:p>
            <w:pPr>
              <w:spacing w:after="0" w:line="240" w:lineRule="auto"/>
              <w:rPr>
                <w:rFonts w:ascii="Bookman Old Style" w:hAnsi="Bookman Old Style" w:eastAsia="Times New Roman" w:cs="Calibri"/>
                <w:color w:val="000000"/>
                <w:sz w:val="18"/>
                <w:szCs w:val="18"/>
              </w:rPr>
            </w:pPr>
          </w:p>
        </w:tc>
        <w:tc>
          <w:tcPr>
            <w:tcW w:w="1165" w:type="dxa"/>
            <w:tcBorders>
              <w:top w:val="nil"/>
              <w:left w:val="nil"/>
              <w:bottom w:val="single" w:color="auto" w:sz="4" w:space="0"/>
              <w:right w:val="nil"/>
            </w:tcBorders>
            <w:shd w:val="clear" w:color="auto" w:fill="auto"/>
            <w:vAlign w:val="bottom"/>
          </w:tcPr>
          <w:p>
            <w:pPr>
              <w:spacing w:after="0" w:line="240" w:lineRule="auto"/>
              <w:rPr>
                <w:rFonts w:ascii="Times New Roman" w:hAnsi="Times New Roman" w:eastAsia="Times New Roman"/>
                <w:sz w:val="18"/>
                <w:szCs w:val="18"/>
              </w:rPr>
            </w:pPr>
          </w:p>
        </w:tc>
        <w:tc>
          <w:tcPr>
            <w:tcW w:w="1165" w:type="dxa"/>
            <w:tcBorders>
              <w:top w:val="nil"/>
              <w:left w:val="nil"/>
              <w:bottom w:val="single" w:color="auto" w:sz="4" w:space="0"/>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260" w:type="dxa"/>
            <w:tcBorders>
              <w:top w:val="nil"/>
              <w:left w:val="nil"/>
              <w:bottom w:val="single" w:color="auto" w:sz="4" w:space="0"/>
              <w:right w:val="nil"/>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nil"/>
              <w:left w:val="nil"/>
              <w:bottom w:val="single" w:color="auto" w:sz="4" w:space="0"/>
              <w:right w:val="nil"/>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nil"/>
              <w:left w:val="nil"/>
              <w:bottom w:val="single" w:color="auto" w:sz="4" w:space="0"/>
              <w:right w:val="nil"/>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p>
        </w:tc>
        <w:tc>
          <w:tcPr>
            <w:tcW w:w="1278" w:type="dxa"/>
            <w:tcBorders>
              <w:top w:val="nil"/>
              <w:left w:val="nil"/>
              <w:bottom w:val="single" w:color="auto" w:sz="4" w:space="0"/>
              <w:right w:val="nil"/>
            </w:tcBorders>
            <w:shd w:val="clear" w:color="auto" w:fill="auto"/>
            <w:noWrap/>
            <w:vAlign w:val="bottom"/>
          </w:tcPr>
          <w:p>
            <w:pPr>
              <w:spacing w:after="0" w:line="240" w:lineRule="auto"/>
              <w:jc w:val="center"/>
              <w:rPr>
                <w:rFonts w:ascii="Times New Roman" w:hAnsi="Times New Roman" w:eastAsia="Times New Roman"/>
                <w:sz w:val="18"/>
                <w:szCs w:val="18"/>
              </w:rPr>
            </w:pPr>
          </w:p>
        </w:tc>
        <w:tc>
          <w:tcPr>
            <w:tcW w:w="1000" w:type="dxa"/>
            <w:tcBorders>
              <w:top w:val="nil"/>
              <w:left w:val="nil"/>
              <w:bottom w:val="single" w:color="auto" w:sz="4" w:space="0"/>
            </w:tcBorders>
            <w:shd w:val="clear" w:color="auto" w:fill="auto"/>
            <w:noWrap/>
            <w:vAlign w:val="bottom"/>
          </w:tcPr>
          <w:p>
            <w:pPr>
              <w:spacing w:after="0" w:line="240" w:lineRule="auto"/>
              <w:jc w:val="center"/>
              <w:rPr>
                <w:rFonts w:ascii="Times New Roman" w:hAnsi="Times New Roman" w:eastAsia="Times New Roman"/>
                <w:sz w:val="18"/>
                <w:szCs w:val="18"/>
              </w:rPr>
            </w:pPr>
          </w:p>
        </w:tc>
      </w:tr>
      <w:tr>
        <w:tblPrEx>
          <w:tblCellMar>
            <w:top w:w="0" w:type="dxa"/>
            <w:left w:w="108" w:type="dxa"/>
            <w:bottom w:w="0" w:type="dxa"/>
            <w:right w:w="108" w:type="dxa"/>
          </w:tblCellMar>
        </w:tblPrEx>
        <w:trPr>
          <w:trHeight w:val="403" w:hRule="atLeast"/>
        </w:trPr>
        <w:tc>
          <w:tcPr>
            <w:tcW w:w="171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NO</w:t>
            </w:r>
          </w:p>
        </w:tc>
        <w:tc>
          <w:tcPr>
            <w:tcW w:w="25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INDIKATOR </w:t>
            </w:r>
          </w:p>
        </w:tc>
        <w:tc>
          <w:tcPr>
            <w:tcW w:w="1233"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SPM / Standar</w:t>
            </w:r>
          </w:p>
        </w:tc>
        <w:tc>
          <w:tcPr>
            <w:tcW w:w="65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IKK /</w:t>
            </w:r>
          </w:p>
        </w:tc>
        <w:tc>
          <w:tcPr>
            <w:tcW w:w="5174" w:type="dxa"/>
            <w:gridSpan w:val="4"/>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Target Renstra Perangkat Daerah</w:t>
            </w:r>
          </w:p>
        </w:tc>
        <w:tc>
          <w:tcPr>
            <w:tcW w:w="2520"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Realisasi Capaian </w:t>
            </w:r>
          </w:p>
        </w:tc>
        <w:tc>
          <w:tcPr>
            <w:tcW w:w="2538" w:type="dxa"/>
            <w:gridSpan w:val="2"/>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Proyeksi </w:t>
            </w:r>
          </w:p>
        </w:tc>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Catatan Analisis</w:t>
            </w:r>
          </w:p>
        </w:tc>
      </w:tr>
      <w:tr>
        <w:tblPrEx>
          <w:tblCellMar>
            <w:top w:w="0" w:type="dxa"/>
            <w:left w:w="108" w:type="dxa"/>
            <w:bottom w:w="0" w:type="dxa"/>
            <w:right w:w="108" w:type="dxa"/>
          </w:tblCellMar>
        </w:tblPrEx>
        <w:trPr>
          <w:trHeight w:val="403" w:hRule="atLeast"/>
        </w:trPr>
        <w:tc>
          <w:tcPr>
            <w:tcW w:w="1719"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259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233"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Nasional</w:t>
            </w:r>
          </w:p>
        </w:tc>
        <w:tc>
          <w:tcPr>
            <w:tcW w:w="65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IKU</w:t>
            </w:r>
          </w:p>
        </w:tc>
        <w:tc>
          <w:tcPr>
            <w:tcW w:w="1422"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2018</w:t>
            </w:r>
          </w:p>
        </w:tc>
        <w:tc>
          <w:tcPr>
            <w:tcW w:w="1422"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2019</w:t>
            </w:r>
          </w:p>
        </w:tc>
        <w:tc>
          <w:tcPr>
            <w:tcW w:w="1165"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2020</w:t>
            </w:r>
          </w:p>
        </w:tc>
        <w:tc>
          <w:tcPr>
            <w:tcW w:w="1165"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2021</w:t>
            </w:r>
          </w:p>
        </w:tc>
        <w:tc>
          <w:tcPr>
            <w:tcW w:w="126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2018</w:t>
            </w:r>
          </w:p>
        </w:tc>
        <w:tc>
          <w:tcPr>
            <w:tcW w:w="126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2019</w:t>
            </w:r>
          </w:p>
        </w:tc>
        <w:tc>
          <w:tcPr>
            <w:tcW w:w="1260"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2020</w:t>
            </w:r>
          </w:p>
        </w:tc>
        <w:tc>
          <w:tcPr>
            <w:tcW w:w="127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2021</w:t>
            </w: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r>
      <w:tr>
        <w:tblPrEx>
          <w:tblCellMar>
            <w:top w:w="0" w:type="dxa"/>
            <w:left w:w="108" w:type="dxa"/>
            <w:bottom w:w="0" w:type="dxa"/>
            <w:right w:w="108" w:type="dxa"/>
          </w:tblCellMar>
        </w:tblPrEx>
        <w:trPr>
          <w:trHeight w:val="403" w:hRule="atLeast"/>
        </w:trPr>
        <w:tc>
          <w:tcPr>
            <w:tcW w:w="1719"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w:t>
            </w:r>
          </w:p>
        </w:tc>
        <w:tc>
          <w:tcPr>
            <w:tcW w:w="2593"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1233"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w:t>
            </w:r>
          </w:p>
        </w:tc>
        <w:tc>
          <w:tcPr>
            <w:tcW w:w="65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1422"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7</w:t>
            </w:r>
          </w:p>
        </w:tc>
        <w:tc>
          <w:tcPr>
            <w:tcW w:w="1422"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8</w:t>
            </w:r>
          </w:p>
        </w:tc>
        <w:tc>
          <w:tcPr>
            <w:tcW w:w="1165"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165"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6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9</w:t>
            </w:r>
          </w:p>
        </w:tc>
        <w:tc>
          <w:tcPr>
            <w:tcW w:w="126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w:t>
            </w:r>
          </w:p>
        </w:tc>
        <w:tc>
          <w:tcPr>
            <w:tcW w:w="1260"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11</w:t>
            </w:r>
          </w:p>
        </w:tc>
        <w:tc>
          <w:tcPr>
            <w:tcW w:w="127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12</w:t>
            </w:r>
          </w:p>
        </w:tc>
        <w:tc>
          <w:tcPr>
            <w:tcW w:w="1000"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13</w:t>
            </w:r>
          </w:p>
        </w:tc>
      </w:tr>
      <w:tr>
        <w:tblPrEx>
          <w:tblCellMar>
            <w:top w:w="0" w:type="dxa"/>
            <w:left w:w="108" w:type="dxa"/>
            <w:bottom w:w="0" w:type="dxa"/>
            <w:right w:w="108" w:type="dxa"/>
          </w:tblCellMar>
        </w:tblPrEx>
        <w:trPr>
          <w:trHeight w:val="403" w:hRule="atLeast"/>
        </w:trPr>
        <w:tc>
          <w:tcPr>
            <w:tcW w:w="1719"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Indikator Kinerja Utama Badan Pendapatan Daerah</w:t>
            </w:r>
          </w:p>
        </w:tc>
        <w:tc>
          <w:tcPr>
            <w:tcW w:w="2593"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3"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656"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422"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422" w:type="dxa"/>
            <w:tcBorders>
              <w:top w:val="nil"/>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65" w:type="dxa"/>
            <w:tcBorders>
              <w:top w:val="nil"/>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65"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78" w:type="dxa"/>
            <w:tcBorders>
              <w:top w:val="nil"/>
              <w:left w:val="nil"/>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000" w:type="dxa"/>
            <w:tcBorders>
              <w:top w:val="nil"/>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593"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tingkat kemandirian Keuangan Daerah</w:t>
            </w:r>
          </w:p>
        </w:tc>
        <w:tc>
          <w:tcPr>
            <w:tcW w:w="123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422"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13.30%</w:t>
            </w:r>
          </w:p>
        </w:tc>
        <w:tc>
          <w:tcPr>
            <w:tcW w:w="1422"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13.47%</w:t>
            </w:r>
          </w:p>
        </w:tc>
        <w:tc>
          <w:tcPr>
            <w:tcW w:w="11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13.63%</w:t>
            </w:r>
          </w:p>
        </w:tc>
        <w:tc>
          <w:tcPr>
            <w:tcW w:w="11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13.63%</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15.32%</w:t>
            </w:r>
          </w:p>
        </w:tc>
        <w:tc>
          <w:tcPr>
            <w:tcW w:w="126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13,47%*</w:t>
            </w:r>
          </w:p>
        </w:tc>
        <w:tc>
          <w:tcPr>
            <w:tcW w:w="126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13.63%</w:t>
            </w:r>
          </w:p>
        </w:tc>
        <w:tc>
          <w:tcPr>
            <w:tcW w:w="1278"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13.63%</w:t>
            </w:r>
          </w:p>
        </w:tc>
        <w:tc>
          <w:tcPr>
            <w:tcW w:w="1000" w:type="dxa"/>
            <w:tcBorders>
              <w:top w:val="nil"/>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593"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penyelesaian ajuan  layanan PBB</w:t>
            </w:r>
          </w:p>
        </w:tc>
        <w:tc>
          <w:tcPr>
            <w:tcW w:w="123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422"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165"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1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145.21%</w:t>
            </w:r>
          </w:p>
        </w:tc>
        <w:tc>
          <w:tcPr>
            <w:tcW w:w="126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278"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00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403" w:hRule="atLeast"/>
        </w:trPr>
        <w:tc>
          <w:tcPr>
            <w:tcW w:w="1719"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Indikator Program - Program Badan Pendapatan Daerah</w:t>
            </w:r>
          </w:p>
        </w:tc>
        <w:tc>
          <w:tcPr>
            <w:tcW w:w="2593"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3"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656"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422"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422"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65"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6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78" w:type="dxa"/>
            <w:tcBorders>
              <w:top w:val="nil"/>
              <w:left w:val="nil"/>
              <w:bottom w:val="single" w:color="auto" w:sz="4" w:space="0"/>
              <w:right w:val="single" w:color="auto" w:sz="4" w:space="0"/>
            </w:tcBorders>
            <w:shd w:val="clear" w:color="000000" w:fill="FFFFFF"/>
            <w:noWrap/>
            <w:vAlign w:val="bottom"/>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000" w:type="dxa"/>
            <w:tcBorders>
              <w:top w:val="nil"/>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Pemenuhan Operasional Perkantoran</w:t>
            </w:r>
          </w:p>
        </w:tc>
        <w:tc>
          <w:tcPr>
            <w:tcW w:w="123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99.88%</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Pemenuhan Sarana dan Prasarana Penunjang Aparatur</w:t>
            </w:r>
          </w:p>
        </w:tc>
        <w:tc>
          <w:tcPr>
            <w:tcW w:w="123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28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Penunjang Kerja Aparatur</w:t>
            </w:r>
          </w:p>
        </w:tc>
        <w:tc>
          <w:tcPr>
            <w:tcW w:w="123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Persentase Peningkatan Kapasitas Pegawai di Perangkat Daerah </w:t>
            </w:r>
          </w:p>
        </w:tc>
        <w:tc>
          <w:tcPr>
            <w:tcW w:w="123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101%</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Dokumen Perencanaan, Laporan Keuangan dan Kinerja Perangkat Daerah yang Tepat Waktu</w:t>
            </w:r>
          </w:p>
        </w:tc>
        <w:tc>
          <w:tcPr>
            <w:tcW w:w="123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tingkat pelayanan penerimaan BPHTB</w:t>
            </w:r>
          </w:p>
        </w:tc>
        <w:tc>
          <w:tcPr>
            <w:tcW w:w="123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150.67%</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4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Tingkat layanan PBB</w:t>
            </w:r>
          </w:p>
        </w:tc>
        <w:tc>
          <w:tcPr>
            <w:tcW w:w="123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101.87%</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Tingkat pengawasan penerimaan daerah</w:t>
            </w:r>
          </w:p>
        </w:tc>
        <w:tc>
          <w:tcPr>
            <w:tcW w:w="123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Tingkat penerimaan pajak Non PBB dan Non BPHTB</w:t>
            </w:r>
          </w:p>
        </w:tc>
        <w:tc>
          <w:tcPr>
            <w:tcW w:w="123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403"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Indikator Kegiatan - Kegiatan Badan Pendapatan Daerah</w:t>
            </w:r>
          </w:p>
        </w:tc>
        <w:tc>
          <w:tcPr>
            <w:tcW w:w="2593" w:type="dxa"/>
            <w:tcBorders>
              <w:top w:val="single" w:color="auto" w:sz="4" w:space="0"/>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3" w:type="dxa"/>
            <w:tcBorders>
              <w:top w:val="single" w:color="auto" w:sz="4" w:space="0"/>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422" w:type="dxa"/>
            <w:tcBorders>
              <w:top w:val="single" w:color="auto" w:sz="4" w:space="0"/>
              <w:left w:val="nil"/>
              <w:bottom w:val="single" w:color="auto" w:sz="4" w:space="0"/>
              <w:right w:val="single" w:color="auto" w:sz="4" w:space="0"/>
            </w:tcBorders>
            <w:shd w:val="clear" w:color="000000" w:fill="FFFFFF"/>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65" w:type="dxa"/>
            <w:tcBorders>
              <w:top w:val="single" w:color="auto" w:sz="4" w:space="0"/>
              <w:left w:val="nil"/>
              <w:bottom w:val="single" w:color="auto" w:sz="4" w:space="0"/>
              <w:right w:val="single" w:color="auto" w:sz="4" w:space="0"/>
            </w:tcBorders>
            <w:shd w:val="clear" w:color="000000" w:fill="FFFFFF"/>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65" w:type="dxa"/>
            <w:tcBorders>
              <w:top w:val="single" w:color="auto" w:sz="4" w:space="0"/>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78" w:type="dxa"/>
            <w:tcBorders>
              <w:top w:val="single" w:color="auto" w:sz="4" w:space="0"/>
              <w:left w:val="nil"/>
              <w:bottom w:val="single" w:color="auto" w:sz="4" w:space="0"/>
              <w:right w:val="single" w:color="auto" w:sz="4" w:space="0"/>
            </w:tcBorders>
            <w:shd w:val="clear" w:color="000000" w:fill="FFFFFF"/>
            <w:noWrap/>
            <w:vAlign w:val="bottom"/>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000" w:type="dxa"/>
            <w:tcBorders>
              <w:top w:val="single" w:color="auto" w:sz="4" w:space="0"/>
              <w:left w:val="nil"/>
              <w:bottom w:val="single" w:color="auto" w:sz="4" w:space="0"/>
              <w:right w:val="single" w:color="auto" w:sz="4" w:space="0"/>
            </w:tcBorders>
            <w:shd w:val="clear" w:color="000000" w:fill="FFFFFF"/>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registrasi surat masuk dan surat keluar</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16000 buah</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16.000 buah</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16.000 buah</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16.000 buah</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16000 buah</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16.000 buah</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16.000 buah</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16.000 buah</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Listrik, Air Minum/Air Bersih, Telekomunikasi dan Internet</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barang cetakan yang disediakan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 jenis</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 jenis</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 jenis</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 jenis</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 jenis</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makanan dan minuman harian Pegawai, Rapat, dan tamu yang disediakan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7780 HOK</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7780 HOK</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7500 HOK</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7500 HOK</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7780 HOK</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7780 HOK</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7500 HOK</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7500 HOK</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pejabat pengelola administrasi keuangan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3700 OB</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dalam daerah</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790 HOK</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790 HOK</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790 HOK</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790 HOK</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780 HOK</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790 HOK</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790 HOK</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790 HOK</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logistik kantor yang disediakan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alat tulis kantor yang disediakan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73 jenis</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73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73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73 jenis</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58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73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73 jenis</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73 jenis</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luar daerah</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238 HOK</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240 HOK</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240 HOK</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240 HOK</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238 HOK</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240 HOK</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240 HOK</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240 HOK</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komponen alat-alat listrik dan elektronik</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jenis</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jenis</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jenis</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jenis</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Bacaan dan Peraturan Perundang-Undangan yang disediakan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gedung kantor yang dipelihara Rutin/Berkala</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bangunan</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bangunan</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bangunan</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bangunan</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bangunan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bangunan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bangunan</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bangunan</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roda empat dan kendaraan roda dua yang dipelihara rutin dan berkala</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 yang dipelihara Rutin/Berkala</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jenis</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jenis</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jenis</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jenis</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Mebeleur yang dipelihara Rutin/Berkala</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 yang diadakan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jenis</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20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jenis</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 / Operasional Roda 2 baru yang diadakan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 unit</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unit</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 unit</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unit</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 / Operasional Roda 4 baru yang diadakan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unit</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unit</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unit</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unit</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unit</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unit</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unit</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unit</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Perlengkapan Gedung Kantor yang diadakan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 jenis</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 jenis</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 jenis</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 jenis</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 jenis</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 jenis</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 jenis</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28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w:t>
            </w:r>
          </w:p>
        </w:tc>
        <w:tc>
          <w:tcPr>
            <w:tcW w:w="2593" w:type="dxa"/>
            <w:tcBorders>
              <w:top w:val="single" w:color="auto" w:sz="4" w:space="0"/>
              <w:left w:val="nil"/>
              <w:bottom w:val="single" w:color="auto" w:sz="4" w:space="0"/>
              <w:right w:val="single" w:color="auto"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Olahraga</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525 stel</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330 stell</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330 stell</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stell</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525 stel</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330 stell</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330 stell</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stell</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28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w:t>
            </w:r>
          </w:p>
        </w:tc>
        <w:tc>
          <w:tcPr>
            <w:tcW w:w="259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dinas</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800 stel</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800 stel</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yang mengikuti pelatihan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 orang</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 orang</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 orang</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 orang</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202 orang</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 orang</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 orang</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 orang</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Tahunan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dokumen</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semester I dan semester II</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akhir</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buku</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Presentase pengajuan permohonan wajib pajak untuk pembayaran BPHTB yang terlayani</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176%</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Pembukuan BPHTB dan BUMD</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buku</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Pengajuan Permohonan wajib pajak untuk pembayaran BPHTB dan BUMD yang terverifikasi dan validasi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176%</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28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29</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Presentase penerimaan PBB P2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penerbitan SPPT PBB P2 yang diterbitkan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1376319 OP</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1.376.319 OP</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1.376.319 OP</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1.376.319 OP</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1392226 OP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1.376.319 OP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1.376.319 OP</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1.376.319 OP</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68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Desa/Kelurahan di 33 Kecamatan yang dilakukan kegiatan Monitoring dan evaluasi perkembangan penerimaan PBB - P2 Jumlah laporan penerimaan mingguan PBB - P2 dalam 1 tahun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0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Pemeliharaan dan Pengembangan Sistem PBB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 aplikasi sim PBB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 aplikasi sim PBB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 aplikasi sim PBB </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 aplikasi sim PBB </w:t>
            </w:r>
          </w:p>
        </w:tc>
        <w:tc>
          <w:tcPr>
            <w:tcW w:w="1278"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40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kegiatan Pekan Panutan Pajak / jumlah sppt PBB P2 yang di distribusikan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1376319 OP</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kegiatan Pekan Panutan Pajak / 1.376.319 OP</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kegiatan Pekan Panutan Pajak / 1.376.319 OP</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kegiatan pekan panutan pajak/1.376.319 OP</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1515390 OP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kegiatan Pekan Panutan Pajak / 1.376.319 OP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kegiatan Pekan Panutan Pajak / 1.376.319 OP</w:t>
            </w:r>
          </w:p>
        </w:tc>
        <w:tc>
          <w:tcPr>
            <w:tcW w:w="1278"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kegiatan pekan panutan pajak/1.376.319 OP</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12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Juamlah Desa yang dilakukan pembentukan basis data /Jumlah desa yang dilakukan pemeliharaan Basis Data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desa</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2 Desa / 33 Desa di 8 Kecamatan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2 Desa / 33 Desa di 8 Kecamatan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Desa</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desa</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2 Desa / 33 Desa di 8 Kecamatan </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2 Desa / 33 Desa di 8 Kecamatan </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Desa</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1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35</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Penagihan Pajak Non PBB yang di tagih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sektor pajak</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10 sektor pajak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10 sektor pajak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sektor pajak</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sektor pajak</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10 sektor pajak </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10 sektor pajak </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sektor pajak</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4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36</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monitoring dan evaluasi pajak daerah yang dilaksanakan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 dokumen</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dokumen</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dokumen</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dokumen</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 dokumen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dokumen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dokumen</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dokumen</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pembinaan aparatur pengelolaan pajak daerah di 7 UPT</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1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pembinaan</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38</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penanganan keberatan dan pengurangan</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WP</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 OP</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 OP</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WP</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WP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 OP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 OP</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WP</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operasi gabungan penertiban pajak daerah</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kali</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kali</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kegiatan</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kali</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kali</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kegiatan</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Pemeriksaaan pajak daerah ke wajib pajak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kegiatan</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kegiatan</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Kegiatan Pelaksanaan rekonsiliasi piutang pajak di &amp;   7 UPT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40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penghitungan penetapan pernerbitan dan pendistribusianzsurat Ketetapan Pajak (SKP/SKPD) serta pemeliharaan sistem aplikasi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15000 SKPD</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15000 SKPD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15000 SKPD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19.000 SKPD</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15000 SKPD</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15000 SKPD </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15000 SKPD </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19.000 SKPD</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w:t>
            </w:r>
          </w:p>
        </w:tc>
        <w:tc>
          <w:tcPr>
            <w:tcW w:w="259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Desa yang mendapatan bagi hasil pajak dan Retribusi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Laporan Realisasi yang disusun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216 laporan</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216 laporan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216 laporan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216 Laporan</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216 laporan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216 laporan </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216 laporan </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216 Laporan</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4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Permintaan Porforasi dan pengadministrasian pengelolaan Benda Benda Berharga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347 WP</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347 WP</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46</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Objek pajak yang dilakukan insentifikasi dan Ekstensifikasi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102 OP</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102 OP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102 OP </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118 OP</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102 OP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102 OP </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102 OP </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118 OP</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Wajib pajak yang terdaftar dan jumlah pendataan objek pajak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347 WP</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347 WP</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60" w:hRule="atLeast"/>
        </w:trPr>
        <w:tc>
          <w:tcPr>
            <w:tcW w:w="1719"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w:t>
            </w:r>
          </w:p>
        </w:tc>
        <w:tc>
          <w:tcPr>
            <w:tcW w:w="2593"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Jumlah RAPERDA dan RAPERBUB yang di hasilkan </w:t>
            </w:r>
          </w:p>
        </w:tc>
        <w:tc>
          <w:tcPr>
            <w:tcW w:w="123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656"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w:t>
            </w:r>
          </w:p>
        </w:tc>
        <w:tc>
          <w:tcPr>
            <w:tcW w:w="1422"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dokumen</w:t>
            </w:r>
          </w:p>
        </w:tc>
        <w:tc>
          <w:tcPr>
            <w:tcW w:w="1422"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165"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26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dokumen</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26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278"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0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bl>
    <w:p>
      <w:pPr>
        <w:spacing w:after="0" w:line="360" w:lineRule="auto"/>
        <w:jc w:val="both"/>
        <w:rPr>
          <w:rFonts w:ascii="Bookman Old Style" w:hAnsi="Bookman Old Style" w:cs="Arial"/>
          <w:sz w:val="24"/>
          <w:szCs w:val="24"/>
        </w:rPr>
        <w:sectPr>
          <w:pgSz w:w="20160" w:h="12240" w:orient="landscape"/>
          <w:pgMar w:top="1296" w:right="850" w:bottom="1411" w:left="288" w:header="706" w:footer="706" w:gutter="0"/>
          <w:cols w:space="708" w:num="1"/>
          <w:titlePg/>
          <w:docGrid w:linePitch="360" w:charSpace="0"/>
        </w:sectPr>
      </w:pPr>
    </w:p>
    <w:p>
      <w:pPr>
        <w:spacing w:after="0" w:line="360" w:lineRule="auto"/>
        <w:jc w:val="both"/>
        <w:rPr>
          <w:rFonts w:ascii="Bookman Old Style" w:hAnsi="Bookman Old Style" w:cs="Arial"/>
          <w:sz w:val="24"/>
          <w:szCs w:val="24"/>
        </w:rPr>
      </w:pPr>
    </w:p>
    <w:p>
      <w:pPr>
        <w:rPr>
          <w:rFonts w:ascii="Bookman Old Style" w:hAnsi="Bookman Old Style" w:cs="Arial"/>
          <w:sz w:val="24"/>
          <w:szCs w:val="24"/>
        </w:rPr>
      </w:pPr>
    </w:p>
    <w:p>
      <w:pPr>
        <w:pStyle w:val="15"/>
        <w:numPr>
          <w:ilvl w:val="1"/>
          <w:numId w:val="11"/>
        </w:numPr>
        <w:spacing w:line="360" w:lineRule="auto"/>
        <w:ind w:left="709" w:hanging="709"/>
        <w:jc w:val="both"/>
        <w:rPr>
          <w:rFonts w:ascii="Bookman Old Style" w:hAnsi="Bookman Old Style" w:cs="Arial"/>
          <w:b/>
          <w:sz w:val="24"/>
          <w:szCs w:val="24"/>
          <w:lang w:val="en-GB"/>
        </w:rPr>
      </w:pPr>
      <w:r>
        <w:rPr>
          <w:rFonts w:ascii="Bookman Old Style" w:hAnsi="Bookman Old Style" w:cs="Arial"/>
          <w:b/>
          <w:sz w:val="24"/>
          <w:szCs w:val="24"/>
          <w:lang w:val="en-GB"/>
        </w:rPr>
        <w:t>Isu – isu Penting Penyelenggaraan Tugas dan Fungsi Perangkat Daerah</w:t>
      </w:r>
    </w:p>
    <w:p>
      <w:pPr>
        <w:tabs>
          <w:tab w:val="left" w:pos="567"/>
        </w:tabs>
        <w:spacing w:after="0" w:line="360" w:lineRule="auto"/>
        <w:ind w:left="567" w:firstLine="567"/>
        <w:jc w:val="both"/>
        <w:rPr>
          <w:rFonts w:ascii="Bookman Old Style" w:hAnsi="Bookman Old Style" w:cs="Arial"/>
          <w:b/>
          <w:sz w:val="24"/>
          <w:szCs w:val="24"/>
          <w:lang w:val="id-ID"/>
        </w:rPr>
      </w:pPr>
      <w:r>
        <w:rPr>
          <w:rFonts w:ascii="Bookman Old Style" w:hAnsi="Bookman Old Style" w:cs="Arial"/>
          <w:sz w:val="24"/>
          <w:szCs w:val="24"/>
        </w:rPr>
        <w:t>Berdasarkan tugas dan fungsi</w:t>
      </w:r>
      <w:r>
        <w:rPr>
          <w:rFonts w:ascii="Bookman Old Style" w:hAnsi="Bookman Old Style" w:cs="Arial"/>
          <w:sz w:val="24"/>
          <w:szCs w:val="24"/>
          <w:lang w:val="id-ID"/>
        </w:rPr>
        <w:t xml:space="preserve"> Badan Pendapatan Daerah Kabupaten Malang </w:t>
      </w:r>
      <w:r>
        <w:rPr>
          <w:rFonts w:ascii="Bookman Old Style" w:hAnsi="Bookman Old Style" w:cs="Arial"/>
          <w:sz w:val="24"/>
          <w:szCs w:val="24"/>
        </w:rPr>
        <w:t>sebagai berikut:</w:t>
      </w:r>
    </w:p>
    <w:p>
      <w:pPr>
        <w:numPr>
          <w:ilvl w:val="0"/>
          <w:numId w:val="12"/>
        </w:numPr>
        <w:tabs>
          <w:tab w:val="left" w:pos="993"/>
          <w:tab w:val="clear" w:pos="0"/>
        </w:tabs>
        <w:suppressAutoHyphens/>
        <w:spacing w:after="0" w:line="360" w:lineRule="auto"/>
        <w:ind w:left="993" w:hanging="426"/>
        <w:jc w:val="both"/>
        <w:rPr>
          <w:rFonts w:ascii="Bookman Old Style" w:hAnsi="Bookman Old Style" w:cs="Arial"/>
          <w:sz w:val="24"/>
          <w:szCs w:val="24"/>
        </w:rPr>
      </w:pPr>
      <w:r>
        <w:rPr>
          <w:rFonts w:ascii="Bookman Old Style" w:hAnsi="Bookman Old Style" w:cs="Arial"/>
          <w:sz w:val="24"/>
          <w:szCs w:val="24"/>
          <w:lang w:val="id-ID"/>
        </w:rPr>
        <w:t xml:space="preserve">Pengelolaan dan Pengendalian data yang berbentuk </w:t>
      </w:r>
      <w:r>
        <w:rPr>
          <w:rFonts w:ascii="Bookman Old Style" w:hAnsi="Bookman Old Style" w:cs="Arial"/>
          <w:i/>
          <w:sz w:val="24"/>
          <w:szCs w:val="24"/>
          <w:lang w:val="id-ID"/>
        </w:rPr>
        <w:t>database</w:t>
      </w:r>
      <w:r>
        <w:rPr>
          <w:rFonts w:ascii="Bookman Old Style" w:hAnsi="Bookman Old Style" w:cs="Arial"/>
          <w:sz w:val="24"/>
          <w:szCs w:val="24"/>
          <w:lang w:val="id-ID"/>
        </w:rPr>
        <w:t xml:space="preserve"> serta analisis data untuk penyusunan program kegiatan;</w:t>
      </w:r>
    </w:p>
    <w:p>
      <w:pPr>
        <w:numPr>
          <w:ilvl w:val="0"/>
          <w:numId w:val="12"/>
        </w:numPr>
        <w:tabs>
          <w:tab w:val="left" w:pos="993"/>
          <w:tab w:val="clear" w:pos="0"/>
        </w:tabs>
        <w:suppressAutoHyphens/>
        <w:spacing w:after="0" w:line="360" w:lineRule="auto"/>
        <w:ind w:left="993" w:hanging="426"/>
        <w:jc w:val="both"/>
        <w:rPr>
          <w:rFonts w:ascii="Bookman Old Style" w:hAnsi="Bookman Old Style" w:cs="Arial"/>
          <w:sz w:val="24"/>
          <w:szCs w:val="24"/>
        </w:rPr>
      </w:pPr>
      <w:r>
        <w:rPr>
          <w:rFonts w:ascii="Bookman Old Style" w:hAnsi="Bookman Old Style" w:cs="Arial"/>
          <w:sz w:val="24"/>
          <w:szCs w:val="24"/>
          <w:lang w:val="id-ID"/>
        </w:rPr>
        <w:t>Perencanaan strategis pada Badan Pendapatan Daerah;</w:t>
      </w:r>
    </w:p>
    <w:p>
      <w:pPr>
        <w:numPr>
          <w:ilvl w:val="0"/>
          <w:numId w:val="12"/>
        </w:numPr>
        <w:tabs>
          <w:tab w:val="left" w:pos="993"/>
          <w:tab w:val="clear" w:pos="0"/>
        </w:tabs>
        <w:suppressAutoHyphens/>
        <w:spacing w:after="0" w:line="360" w:lineRule="auto"/>
        <w:ind w:left="993" w:hanging="426"/>
        <w:jc w:val="both"/>
        <w:rPr>
          <w:rFonts w:ascii="Bookman Old Style" w:hAnsi="Bookman Old Style" w:cs="Arial"/>
          <w:sz w:val="24"/>
          <w:szCs w:val="24"/>
        </w:rPr>
      </w:pPr>
      <w:r>
        <w:rPr>
          <w:rFonts w:ascii="Bookman Old Style" w:hAnsi="Bookman Old Style" w:cs="Arial"/>
          <w:sz w:val="24"/>
          <w:szCs w:val="24"/>
          <w:lang w:val="id-ID"/>
        </w:rPr>
        <w:t>Kebijakan teknis bidang Pendapatan Daerah;</w:t>
      </w:r>
    </w:p>
    <w:p>
      <w:pPr>
        <w:numPr>
          <w:ilvl w:val="0"/>
          <w:numId w:val="12"/>
        </w:numPr>
        <w:tabs>
          <w:tab w:val="left" w:pos="993"/>
          <w:tab w:val="clear" w:pos="0"/>
        </w:tabs>
        <w:suppressAutoHyphens/>
        <w:spacing w:after="0" w:line="360" w:lineRule="auto"/>
        <w:ind w:left="993" w:hanging="426"/>
        <w:jc w:val="both"/>
        <w:rPr>
          <w:rFonts w:ascii="Bookman Old Style" w:hAnsi="Bookman Old Style" w:cs="Arial"/>
          <w:sz w:val="24"/>
          <w:szCs w:val="24"/>
        </w:rPr>
      </w:pPr>
      <w:r>
        <w:rPr>
          <w:rFonts w:ascii="Bookman Old Style" w:hAnsi="Bookman Old Style" w:cs="Arial"/>
          <w:sz w:val="24"/>
          <w:szCs w:val="24"/>
          <w:lang w:val="id-ID"/>
        </w:rPr>
        <w:t>Pembinaan UPTD Pendapatan</w:t>
      </w:r>
      <w:r>
        <w:rPr>
          <w:rFonts w:ascii="Bookman Old Style" w:hAnsi="Bookman Old Style" w:cs="Arial"/>
          <w:sz w:val="24"/>
          <w:szCs w:val="24"/>
          <w:lang w:val="en-GB"/>
        </w:rPr>
        <w:t>.</w:t>
      </w:r>
    </w:p>
    <w:p>
      <w:pPr>
        <w:suppressAutoHyphens/>
        <w:spacing w:after="0" w:line="360" w:lineRule="auto"/>
        <w:ind w:left="630" w:firstLine="540"/>
        <w:jc w:val="both"/>
        <w:rPr>
          <w:rFonts w:ascii="Bookman Old Style" w:hAnsi="Bookman Old Style" w:cs="Arial"/>
          <w:sz w:val="24"/>
          <w:szCs w:val="24"/>
        </w:rPr>
      </w:pPr>
      <w:r>
        <w:rPr>
          <w:rFonts w:ascii="Bookman Old Style" w:hAnsi="Bookman Old Style" w:cs="Arial"/>
          <w:sz w:val="24"/>
          <w:szCs w:val="24"/>
          <w:lang w:val="en-GB"/>
        </w:rPr>
        <w:t>Pada awal Tahun 2018 Badan Pendapatan Daerah telah merintis beberapa inovasi dan terobosan dalam rangka meningkatkan proses penerimaan Pendapatan Daerah. Inovasi ini diharapkan dapat meningkatkan Pendapatan Asli Daerah (PAD) dari sektor Pajak Daerah, selain itu di harapkan bahwa dengan adanya aplikasi dan inovasi ini dapat memudahkan wajib pajak dalam proses pembayaran. Dengan di dukung oleh beberapa Bank Daerah maupun Bank Nasional, Badan Pendapatan Daerah mampu meningkatkan penerimaan Pajak Daerah secara bertahap dan efisien. Namun dalam praktiknya tentunya masih ada beberapa kendala teknis yang di alami dalam pelaksanaan aplikasi Pajak Daerah maupun dalam penyelenggaraan tugas dan fungsi Badan Pendapatan Daerah sesuai dengan bidang sebagai berikut:</w:t>
      </w:r>
    </w:p>
    <w:p>
      <w:pPr>
        <w:pStyle w:val="18"/>
        <w:numPr>
          <w:ilvl w:val="1"/>
          <w:numId w:val="10"/>
        </w:numPr>
        <w:ind w:left="851" w:hanging="284"/>
        <w:rPr>
          <w:rFonts w:ascii="Bookman Old Style" w:hAnsi="Bookman Old Style" w:cs="Arial"/>
          <w:color w:val="000000" w:themeColor="text1"/>
          <w:lang w:val="id-ID"/>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Bidang BPHTB dan BUMD</w:t>
      </w:r>
    </w:p>
    <w:p>
      <w:pPr>
        <w:pStyle w:val="18"/>
        <w:numPr>
          <w:ilvl w:val="4"/>
          <w:numId w:val="2"/>
        </w:numPr>
        <w:spacing w:before="0"/>
        <w:ind w:left="1276" w:hanging="425"/>
        <w:rPr>
          <w:rFonts w:ascii="Bookman Old Style" w:hAnsi="Bookman Old Style" w:cs="Arial"/>
          <w:lang w:val="id-ID"/>
        </w:rPr>
      </w:pPr>
      <w:r>
        <w:rPr>
          <w:rFonts w:ascii="Bookman Old Style" w:hAnsi="Bookman Old Style" w:cs="Arial"/>
        </w:rPr>
        <w:t>Aplikasi SIM BPHTB sudah dilaksanakan namun pada penerapanya  masih memerlukan penyesuaian data base yang handal dan relefan dengan keadaan wajib pajak.</w:t>
      </w:r>
    </w:p>
    <w:p>
      <w:pPr>
        <w:pStyle w:val="18"/>
        <w:numPr>
          <w:ilvl w:val="4"/>
          <w:numId w:val="2"/>
        </w:numPr>
        <w:spacing w:before="0"/>
        <w:ind w:left="1276" w:hanging="425"/>
        <w:rPr>
          <w:rFonts w:ascii="Bookman Old Style" w:hAnsi="Bookman Old Style" w:cs="Arial"/>
          <w:color w:val="000000" w:themeColor="text1"/>
          <w:lang w:val="id-ID"/>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Terdapat perbedaan pemahaman antara petugas pelayanan dan wajib pajak tentang pajak BPHTB, Kurangnya SDM dan sarana-prasarana sehingga berdampak pada kurang optimalnya pelayanan;</w:t>
      </w:r>
    </w:p>
    <w:p>
      <w:pPr>
        <w:pStyle w:val="18"/>
        <w:numPr>
          <w:ilvl w:val="4"/>
          <w:numId w:val="2"/>
        </w:numPr>
        <w:spacing w:before="0"/>
        <w:ind w:left="1276" w:hanging="425"/>
        <w:rPr>
          <w:rFonts w:ascii="Bookman Old Style" w:hAnsi="Bookman Old Style" w:cs="Arial"/>
          <w:color w:val="000000" w:themeColor="text1"/>
          <w:lang w:val="id-ID"/>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 xml:space="preserve">SSPD-BPHTB dari Bank Jatim tidak sesuai dengan rekapitulasi yang ada di BAPENDA,pelaksanaan pembayaran di seluruh Cabang Bank Jatim dan lamanya proses pelaporan menyebabkan keterlambatan pelaporan ke BAPENDA; </w:t>
      </w:r>
    </w:p>
    <w:p>
      <w:pPr>
        <w:pStyle w:val="18"/>
        <w:numPr>
          <w:ilvl w:val="4"/>
          <w:numId w:val="2"/>
        </w:numPr>
        <w:spacing w:before="0"/>
        <w:ind w:left="1276" w:hanging="425"/>
        <w:rPr>
          <w:rFonts w:ascii="Bookman Old Style" w:hAnsi="Bookman Old Style" w:cs="Arial"/>
          <w:color w:val="000000" w:themeColor="text1"/>
          <w:lang w:val="id-ID"/>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Terdapat kesenjangan/perbedaan antara nilai pajak yang diajukan oleh wajib pajak dengan realita di lapangan.</w:t>
      </w:r>
    </w:p>
    <w:p>
      <w:pPr>
        <w:rPr>
          <w:rFonts w:ascii="Bookman Old Style" w:hAnsi="Bookman Old Style" w:cs="Arial"/>
          <w:color w:val="000000" w:themeColor="text1"/>
          <w:lang w:val="id-ID"/>
          <w14:textFill>
            <w14:solidFill>
              <w14:schemeClr w14:val="tx1"/>
            </w14:solidFill>
          </w14:textFill>
        </w:rPr>
      </w:pPr>
    </w:p>
    <w:p>
      <w:pPr>
        <w:spacing w:after="0" w:line="360" w:lineRule="auto"/>
        <w:ind w:left="851"/>
        <w:jc w:val="both"/>
        <w:rPr>
          <w:rFonts w:ascii="Bookman Old Style" w:hAnsi="Bookman Old Style" w:cs="Arial"/>
          <w:color w:val="000000" w:themeColor="text1"/>
          <w:sz w:val="24"/>
          <w:szCs w:val="24"/>
          <w:lang w:val="id-ID"/>
          <w14:textFill>
            <w14:solidFill>
              <w14:schemeClr w14:val="tx1"/>
            </w14:solidFill>
          </w14:textFill>
        </w:rPr>
      </w:pPr>
      <w:r>
        <w:rPr>
          <w:rFonts w:ascii="Bookman Old Style" w:hAnsi="Bookman Old Style" w:cs="Arial"/>
          <w:color w:val="000000" w:themeColor="text1"/>
          <w:sz w:val="24"/>
          <w:szCs w:val="24"/>
          <w:lang w:val="id-ID"/>
          <w14:textFill>
            <w14:solidFill>
              <w14:schemeClr w14:val="tx1"/>
            </w14:solidFill>
          </w14:textFill>
        </w:rPr>
        <w:t>B</w:t>
      </w:r>
      <w:r>
        <w:rPr>
          <w:rFonts w:ascii="Bookman Old Style" w:hAnsi="Bookman Old Style" w:cs="Arial"/>
          <w:color w:val="000000" w:themeColor="text1"/>
          <w:sz w:val="24"/>
          <w:szCs w:val="24"/>
          <w14:textFill>
            <w14:solidFill>
              <w14:schemeClr w14:val="tx1"/>
            </w14:solidFill>
          </w14:textFill>
        </w:rPr>
        <w:t>eberapa langkah-langkah menghadapi permasalahan di atas</w:t>
      </w:r>
      <w:r>
        <w:rPr>
          <w:rFonts w:ascii="Bookman Old Style" w:hAnsi="Bookman Old Style" w:cs="Arial"/>
          <w:color w:val="000000" w:themeColor="text1"/>
          <w:sz w:val="24"/>
          <w:szCs w:val="24"/>
          <w:lang w:val="id-ID"/>
          <w14:textFill>
            <w14:solidFill>
              <w14:schemeClr w14:val="tx1"/>
            </w14:solidFill>
          </w14:textFill>
        </w:rPr>
        <w:t xml:space="preserve"> adalah :</w:t>
      </w:r>
    </w:p>
    <w:p>
      <w:pPr>
        <w:pStyle w:val="18"/>
        <w:numPr>
          <w:ilvl w:val="0"/>
          <w:numId w:val="13"/>
        </w:numPr>
        <w:spacing w:before="0"/>
        <w:rPr>
          <w:rFonts w:ascii="Bookman Old Style" w:hAnsi="Bookman Old Style" w:cs="Arial"/>
          <w:color w:val="000000" w:themeColor="text1"/>
          <w:lang w:val="id-ID"/>
          <w14:textFill>
            <w14:solidFill>
              <w14:schemeClr w14:val="tx1"/>
            </w14:solidFill>
          </w14:textFill>
        </w:rPr>
      </w:pPr>
      <w:r>
        <w:rPr>
          <w:rFonts w:ascii="Bookman Old Style" w:hAnsi="Bookman Old Style" w:cs="Arial"/>
          <w:color w:val="000000" w:themeColor="text1"/>
          <w14:textFill>
            <w14:solidFill>
              <w14:schemeClr w14:val="tx1"/>
            </w14:solidFill>
          </w14:textFill>
        </w:rPr>
        <w:t xml:space="preserve">Akan di adakan penyesuaian database yang handal dan tepat dalam aplikasi E-BPHTB oleh pihak ke 3. </w:t>
      </w:r>
    </w:p>
    <w:p>
      <w:pPr>
        <w:pStyle w:val="18"/>
        <w:numPr>
          <w:ilvl w:val="0"/>
          <w:numId w:val="13"/>
        </w:numPr>
        <w:spacing w:before="0"/>
        <w:rPr>
          <w:rFonts w:ascii="Bookman Old Style" w:hAnsi="Bookman Old Style" w:cs="Arial"/>
          <w:color w:val="000000" w:themeColor="text1"/>
          <w:lang w:val="id-ID"/>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 xml:space="preserve">Memberikan penjelasan kepada wajib pajak, meningkatkan kompetensi petugas pelayanan,meningkatkan sarana prasarana untuk mendukung pelaksanaan tugas pelayanan,  </w:t>
      </w:r>
    </w:p>
    <w:p>
      <w:pPr>
        <w:pStyle w:val="18"/>
        <w:numPr>
          <w:ilvl w:val="0"/>
          <w:numId w:val="13"/>
        </w:numPr>
        <w:spacing w:before="0"/>
        <w:rPr>
          <w:rFonts w:ascii="Bookman Old Style" w:hAnsi="Bookman Old Style" w:cs="Arial"/>
          <w:color w:val="000000" w:themeColor="text1"/>
          <w:lang w:val="id-ID"/>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 xml:space="preserve">Meningkatkan koordinasi dengan Bank Jatim agar administrasi berkas sesuai rekapitulasi SSPD-BPHTB di BAPENDA dan mengiriman pelaporan yang tepat waktu; </w:t>
      </w:r>
    </w:p>
    <w:p>
      <w:pPr>
        <w:pStyle w:val="18"/>
        <w:numPr>
          <w:ilvl w:val="0"/>
          <w:numId w:val="13"/>
        </w:numPr>
        <w:spacing w:before="0"/>
        <w:rPr>
          <w:rFonts w:ascii="Bookman Old Style" w:hAnsi="Bookman Old Style" w:cs="Arial"/>
          <w:color w:val="000000"/>
          <w:lang w:val="id-ID"/>
        </w:rPr>
      </w:pPr>
      <w:r>
        <w:rPr>
          <w:rFonts w:ascii="Bookman Old Style" w:hAnsi="Bookman Old Style" w:cs="Arial"/>
          <w:color w:val="000000" w:themeColor="text1"/>
          <w:lang w:val="id-ID"/>
          <w14:textFill>
            <w14:solidFill>
              <w14:schemeClr w14:val="tx1"/>
            </w14:solidFill>
          </w14:textFill>
        </w:rPr>
        <w:t xml:space="preserve">Melakukan verifikasi lapangan untuk mendapatkan nilai kewajaran obyek di lapangan. </w:t>
      </w:r>
    </w:p>
    <w:p>
      <w:pPr>
        <w:pStyle w:val="18"/>
        <w:spacing w:before="0"/>
        <w:ind w:left="1211"/>
        <w:rPr>
          <w:rFonts w:ascii="Bookman Old Style" w:hAnsi="Bookman Old Style" w:cs="Arial"/>
          <w:color w:val="000000"/>
          <w:lang w:val="id-ID"/>
        </w:rPr>
      </w:pPr>
    </w:p>
    <w:p>
      <w:pPr>
        <w:pStyle w:val="18"/>
        <w:numPr>
          <w:ilvl w:val="1"/>
          <w:numId w:val="10"/>
        </w:numPr>
        <w:spacing w:before="0"/>
        <w:ind w:left="851" w:hanging="284"/>
        <w:rPr>
          <w:rFonts w:ascii="Bookman Old Style" w:hAnsi="Bookman Old Style" w:cs="Arial"/>
          <w:lang w:val="id-ID"/>
        </w:rPr>
      </w:pPr>
      <w:r>
        <w:rPr>
          <w:rFonts w:ascii="Bookman Old Style" w:hAnsi="Bookman Old Style" w:cs="Arial"/>
          <w:lang w:val="id-ID"/>
        </w:rPr>
        <w:t>Bidang PBB</w:t>
      </w:r>
    </w:p>
    <w:p>
      <w:pPr>
        <w:pStyle w:val="18"/>
        <w:numPr>
          <w:ilvl w:val="0"/>
          <w:numId w:val="14"/>
        </w:numPr>
        <w:rPr>
          <w:rFonts w:ascii="Bookman Old Style" w:hAnsi="Bookman Old Style" w:cs="Arial"/>
          <w:lang w:val="id-ID"/>
        </w:rPr>
      </w:pPr>
      <w:r>
        <w:rPr>
          <w:rFonts w:ascii="Bookman Old Style" w:hAnsi="Bookman Old Style" w:cs="Arial"/>
          <w:lang w:val="id-ID"/>
        </w:rPr>
        <w:t xml:space="preserve">Keadaan Wajib Pajak PBB P2 yaitu jumlah Objek Pajak pada waktu pendaerahan PBB P2 tahun 2014 sebanyak 1.348.344, sedangkan tahun 2018 sebanyak 1.378.158, sehingga ada kenaikan rata-rata per tahun sebanyak 7.453 Objek Pajak. Permasalahannya adalah </w:t>
      </w:r>
    </w:p>
    <w:p>
      <w:pPr>
        <w:pStyle w:val="18"/>
        <w:ind w:left="1211"/>
        <w:rPr>
          <w:rFonts w:ascii="Bookman Old Style" w:hAnsi="Bookman Old Style" w:cs="Arial"/>
          <w:lang w:val="id-ID"/>
        </w:rPr>
      </w:pPr>
      <w:r>
        <w:rPr>
          <w:rFonts w:ascii="Bookman Old Style" w:hAnsi="Bookman Old Style" w:cs="Arial"/>
          <w:lang w:val="id-ID"/>
        </w:rPr>
        <w:t>kurangnya kesadaran beberapa Wajib Pajak atas pembayaran PBB P2, Nilai NJOP Bumi masih jauh dibawah harga pasar, dan masih ada 104 Desa yang belum mempunyai Basis Data (Sismiop).</w:t>
      </w:r>
    </w:p>
    <w:p>
      <w:pPr>
        <w:tabs>
          <w:tab w:val="left" w:pos="1134"/>
        </w:tabs>
        <w:suppressAutoHyphens/>
        <w:spacing w:after="0" w:line="360" w:lineRule="auto"/>
        <w:ind w:left="1134" w:firstLine="567"/>
        <w:jc w:val="both"/>
        <w:rPr>
          <w:rFonts w:ascii="Bookman Old Style" w:hAnsi="Bookman Old Style" w:cs="Arial"/>
          <w:color w:val="000000" w:themeColor="text1"/>
          <w:sz w:val="24"/>
          <w:szCs w:val="24"/>
          <w:lang w:val="id-ID"/>
          <w14:textFill>
            <w14:solidFill>
              <w14:schemeClr w14:val="tx1"/>
            </w14:solidFill>
          </w14:textFill>
        </w:rPr>
      </w:pPr>
      <w:r>
        <w:rPr>
          <w:rFonts w:ascii="Bookman Old Style" w:hAnsi="Bookman Old Style" w:cs="Arial"/>
          <w:color w:val="000000" w:themeColor="text1"/>
          <w:sz w:val="24"/>
          <w:szCs w:val="24"/>
          <w:lang w:val="id-ID"/>
          <w14:textFill>
            <w14:solidFill>
              <w14:schemeClr w14:val="tx1"/>
            </w14:solidFill>
          </w14:textFill>
        </w:rPr>
        <w:t>Dalam rangka meningkatkan tertib administrasi PBB</w:t>
      </w:r>
      <w:r>
        <w:rPr>
          <w:rFonts w:ascii="Bookman Old Style" w:hAnsi="Bookman Old Style" w:cs="Arial"/>
          <w:color w:val="000000" w:themeColor="text1"/>
          <w:sz w:val="24"/>
          <w:szCs w:val="24"/>
          <w:lang w:val="en-GB"/>
          <w14:textFill>
            <w14:solidFill>
              <w14:schemeClr w14:val="tx1"/>
            </w14:solidFill>
          </w14:textFill>
        </w:rPr>
        <w:t>–P2</w:t>
      </w:r>
      <w:r>
        <w:rPr>
          <w:rFonts w:ascii="Bookman Old Style" w:hAnsi="Bookman Old Style" w:cs="Arial"/>
          <w:color w:val="000000" w:themeColor="text1"/>
          <w:sz w:val="24"/>
          <w:szCs w:val="24"/>
          <w:lang w:val="id-ID"/>
          <w14:textFill>
            <w14:solidFill>
              <w14:schemeClr w14:val="tx1"/>
            </w14:solidFill>
          </w14:textFill>
        </w:rPr>
        <w:t>, meningkatkan akuntabilitas kinerja dengan memberikan pelayanan prima kepada wajib pajak, meningkatkan pontensi Pendapatan Daerah sektor PBB, dengan mempertimbangkan keadaan objek dan subjek pajak terkini, perlunya dilaksanakan kegiatan Pendataan dan Penilaian yang dilaksanakan melalui:</w:t>
      </w:r>
    </w:p>
    <w:p>
      <w:pPr>
        <w:pStyle w:val="18"/>
        <w:numPr>
          <w:ilvl w:val="1"/>
          <w:numId w:val="15"/>
        </w:numPr>
        <w:spacing w:before="0"/>
        <w:rPr>
          <w:rFonts w:ascii="Bookman Old Style" w:hAnsi="Bookman Old Style" w:cs="Arial"/>
          <w:color w:val="000000" w:themeColor="text1"/>
          <w:lang w:val="id-ID"/>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Pembentukan basis data objek Pajak Bumi dan Bangunan yaitu suatu rangkaian kegiatan untuk membentuk suatu basis data melalui pelaksanaan pendaftaran, pendataan dan penilaian, serta pengolahan data objek dan subjek Pajak Bumi dan Bangunan dengan bantuan komputer pada suatu wilayah tertentu yang dilakukan oleh Bidang PBB</w:t>
      </w:r>
      <w:r>
        <w:rPr>
          <w:rFonts w:ascii="Bookman Old Style" w:hAnsi="Bookman Old Style" w:cs="Arial"/>
          <w:color w:val="000000" w:themeColor="text1"/>
          <w:lang w:val="en-GB"/>
          <w14:textFill>
            <w14:solidFill>
              <w14:schemeClr w14:val="tx1"/>
            </w14:solidFill>
          </w14:textFill>
        </w:rPr>
        <w:t xml:space="preserve"> – P2</w:t>
      </w:r>
      <w:r>
        <w:rPr>
          <w:rFonts w:ascii="Bookman Old Style" w:hAnsi="Bookman Old Style" w:cs="Arial"/>
          <w:color w:val="000000" w:themeColor="text1"/>
          <w:lang w:val="id-ID"/>
          <w14:textFill>
            <w14:solidFill>
              <w14:schemeClr w14:val="tx1"/>
            </w14:solidFill>
          </w14:textFill>
        </w:rPr>
        <w:t xml:space="preserve"> atau pihak lain yang ditentukan oleh Bidang PBB</w:t>
      </w:r>
      <w:r>
        <w:rPr>
          <w:rFonts w:ascii="Bookman Old Style" w:hAnsi="Bookman Old Style" w:cs="Arial"/>
          <w:color w:val="000000" w:themeColor="text1"/>
          <w:lang w:val="en-GB"/>
          <w14:textFill>
            <w14:solidFill>
              <w14:schemeClr w14:val="tx1"/>
            </w14:solidFill>
          </w14:textFill>
        </w:rPr>
        <w:t xml:space="preserve"> – P2;</w:t>
      </w:r>
    </w:p>
    <w:p>
      <w:pPr>
        <w:numPr>
          <w:ilvl w:val="1"/>
          <w:numId w:val="15"/>
        </w:numPr>
        <w:suppressAutoHyphens/>
        <w:spacing w:after="0" w:line="360" w:lineRule="auto"/>
        <w:jc w:val="both"/>
        <w:rPr>
          <w:rFonts w:ascii="Bookman Old Style" w:hAnsi="Bookman Old Style" w:cs="Arial"/>
          <w:color w:val="000000" w:themeColor="text1"/>
          <w:sz w:val="24"/>
          <w:szCs w:val="24"/>
          <w:lang w:val="id-ID"/>
          <w14:textFill>
            <w14:solidFill>
              <w14:schemeClr w14:val="tx1"/>
            </w14:solidFill>
          </w14:textFill>
        </w:rPr>
      </w:pPr>
      <w:r>
        <w:rPr>
          <w:rFonts w:ascii="Bookman Old Style" w:hAnsi="Bookman Old Style" w:cs="Arial"/>
          <w:color w:val="000000" w:themeColor="text1"/>
          <w:sz w:val="24"/>
          <w:szCs w:val="24"/>
          <w:lang w:val="id-ID"/>
          <w14:textFill>
            <w14:solidFill>
              <w14:schemeClr w14:val="tx1"/>
            </w14:solidFill>
          </w14:textFill>
        </w:rPr>
        <w:t>Pemeliharaan basis data objek Pajak Bumi dan Bangunan yaitu suatu kegiatan memperbaharui atau menyesuaikan basis data yang telah terbentuk sebelumnya melalui kegiatan verifikasi dan penelitian yang dilakukan oleh Bidang PBB</w:t>
      </w:r>
      <w:r>
        <w:rPr>
          <w:rFonts w:ascii="Bookman Old Style" w:hAnsi="Bookman Old Style" w:cs="Arial"/>
          <w:color w:val="000000" w:themeColor="text1"/>
          <w:sz w:val="24"/>
          <w:szCs w:val="24"/>
          <w:lang w:val="en-GB"/>
          <w14:textFill>
            <w14:solidFill>
              <w14:schemeClr w14:val="tx1"/>
            </w14:solidFill>
          </w14:textFill>
        </w:rPr>
        <w:t xml:space="preserve"> – P2</w:t>
      </w:r>
      <w:r>
        <w:rPr>
          <w:rFonts w:ascii="Bookman Old Style" w:hAnsi="Bookman Old Style" w:cs="Arial"/>
          <w:color w:val="000000" w:themeColor="text1"/>
          <w:sz w:val="24"/>
          <w:szCs w:val="24"/>
          <w:lang w:val="id-ID"/>
          <w14:textFill>
            <w14:solidFill>
              <w14:schemeClr w14:val="tx1"/>
            </w14:solidFill>
          </w14:textFill>
        </w:rPr>
        <w:t xml:space="preserve"> sesuai Pasal 90 Peraturan Daerah Kabupaten Malang Nomor 8 Tahun 2010 tentang Pajak Daerah dan atau berdasarkan laporan dari wajib pajak yang bersangkutan dalam rangka akurasi data.</w:t>
      </w:r>
    </w:p>
    <w:p>
      <w:pPr>
        <w:pStyle w:val="18"/>
        <w:numPr>
          <w:ilvl w:val="1"/>
          <w:numId w:val="15"/>
        </w:numPr>
        <w:tabs>
          <w:tab w:val="left" w:pos="426"/>
          <w:tab w:val="left" w:pos="993"/>
        </w:tabs>
        <w:spacing w:before="0"/>
        <w:rPr>
          <w:rFonts w:ascii="Bookman Old Style" w:hAnsi="Bookman Old Style" w:cs="Arial"/>
          <w:color w:val="000000" w:themeColor="text1"/>
          <w:lang w:val="id-ID"/>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 xml:space="preserve">Pembentukan dan pemeliharaan basis data objek dan subyek Pajak Bumi dan Bangunan dimaksud untuk menciptakan suatu basis data yang akurat dan </w:t>
      </w:r>
      <w:r>
        <w:rPr>
          <w:rFonts w:ascii="Bookman Old Style" w:hAnsi="Bookman Old Style" w:cs="Arial"/>
          <w:i/>
          <w:color w:val="000000" w:themeColor="text1"/>
          <w:lang w:val="id-ID"/>
          <w14:textFill>
            <w14:solidFill>
              <w14:schemeClr w14:val="tx1"/>
            </w14:solidFill>
          </w14:textFill>
        </w:rPr>
        <w:t>uptodate</w:t>
      </w:r>
      <w:r>
        <w:rPr>
          <w:rFonts w:ascii="Bookman Old Style" w:hAnsi="Bookman Old Style" w:cs="Arial"/>
          <w:color w:val="000000" w:themeColor="text1"/>
          <w:lang w:val="id-ID"/>
          <w14:textFill>
            <w14:solidFill>
              <w14:schemeClr w14:val="tx1"/>
            </w14:solidFill>
          </w14:textFill>
        </w:rPr>
        <w:t xml:space="preserve"> dengan mengintegrasikan semua aktivitas administrasi PBB kedalam satu wadah, sehingga pelaksanaanya dapat lebih seragam, sederhana, cepat dan efisien. Dengan demikian diharapkan akan dapat tercipta pengenaan pajak yang lebih adil dan merata, peningkatan realisasi potensi</w:t>
      </w:r>
      <w:r>
        <w:rPr>
          <w:rFonts w:ascii="Bookman Old Style" w:hAnsi="Bookman Old Style" w:cs="Arial"/>
          <w:color w:val="000000" w:themeColor="text1"/>
          <w:lang w:val="en-GB"/>
          <w14:textFill>
            <w14:solidFill>
              <w14:schemeClr w14:val="tx1"/>
            </w14:solidFill>
          </w14:textFill>
        </w:rPr>
        <w:t xml:space="preserve"> atau </w:t>
      </w:r>
      <w:r>
        <w:rPr>
          <w:rFonts w:ascii="Bookman Old Style" w:hAnsi="Bookman Old Style" w:cs="Arial"/>
          <w:color w:val="000000" w:themeColor="text1"/>
          <w:lang w:val="id-ID"/>
          <w14:textFill>
            <w14:solidFill>
              <w14:schemeClr w14:val="tx1"/>
            </w14:solidFill>
          </w14:textFill>
        </w:rPr>
        <w:t>pokok ketetapan, peningkatan tertib administrasi dan peningkatan penerimaan Pajak Bumi dan Bangunan, serta dapat memberikan pelayanan yang lebih baik kepada wajib pajak. Untuk menjaga akurasi data objek dan subjek pajak yang memenuhi unsur relevan, tepat waktu, andal dan mutakhir maka basis data yang terbentuk perlu dipelihara dengan baik;</w:t>
      </w:r>
    </w:p>
    <w:p>
      <w:pPr>
        <w:pStyle w:val="18"/>
        <w:numPr>
          <w:ilvl w:val="1"/>
          <w:numId w:val="15"/>
        </w:numPr>
        <w:tabs>
          <w:tab w:val="left" w:pos="993"/>
        </w:tabs>
        <w:spacing w:before="0"/>
        <w:rPr>
          <w:rFonts w:ascii="Bookman Old Style" w:hAnsi="Bookman Old Style" w:cs="Arial"/>
          <w:color w:val="000000" w:themeColor="text1"/>
          <w:lang w:val="en-GB"/>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Berkurangnya Piutang PBB Hasil Pelimpahan dari Pusat</w:t>
      </w:r>
      <w:r>
        <w:rPr>
          <w:rFonts w:ascii="Bookman Old Style" w:hAnsi="Bookman Old Style" w:cs="Arial"/>
          <w:color w:val="000000" w:themeColor="text1"/>
          <w:lang w:val="en-GB"/>
          <w14:textFill>
            <w14:solidFill>
              <w14:schemeClr w14:val="tx1"/>
            </w14:solidFill>
          </w14:textFill>
        </w:rPr>
        <w:t>.</w:t>
      </w:r>
    </w:p>
    <w:p>
      <w:pPr>
        <w:pStyle w:val="18"/>
        <w:tabs>
          <w:tab w:val="left" w:pos="993"/>
        </w:tabs>
        <w:spacing w:before="0"/>
        <w:ind w:left="1440"/>
        <w:rPr>
          <w:rFonts w:ascii="Bookman Old Style" w:hAnsi="Bookman Old Style" w:cs="Arial"/>
          <w:color w:val="000000" w:themeColor="text1"/>
          <w:lang w:val="id-ID"/>
          <w14:textFill>
            <w14:solidFill>
              <w14:schemeClr w14:val="tx1"/>
            </w14:solidFill>
          </w14:textFill>
        </w:rPr>
      </w:pPr>
      <w:r>
        <w:rPr>
          <w:rFonts w:ascii="Bookman Old Style" w:hAnsi="Bookman Old Style" w:cs="Arial"/>
          <w:color w:val="000000" w:themeColor="text1"/>
          <w:lang w:val="id-ID"/>
          <w14:textFill>
            <w14:solidFill>
              <w14:schemeClr w14:val="tx1"/>
            </w14:solidFill>
          </w14:textFill>
        </w:rPr>
        <w:t>Dengan dialihkannya PBB</w:t>
      </w:r>
      <w:r>
        <w:rPr>
          <w:rFonts w:ascii="Bookman Old Style" w:hAnsi="Bookman Old Style" w:cs="Arial"/>
          <w:color w:val="000000" w:themeColor="text1"/>
          <w:lang w:val="en-GB"/>
          <w14:textFill>
            <w14:solidFill>
              <w14:schemeClr w14:val="tx1"/>
            </w14:solidFill>
          </w14:textFill>
        </w:rPr>
        <w:t xml:space="preserve"> – P2</w:t>
      </w:r>
      <w:r>
        <w:rPr>
          <w:rFonts w:ascii="Bookman Old Style" w:hAnsi="Bookman Old Style" w:cs="Arial"/>
          <w:color w:val="000000" w:themeColor="text1"/>
          <w:lang w:val="id-ID"/>
          <w14:textFill>
            <w14:solidFill>
              <w14:schemeClr w14:val="tx1"/>
            </w14:solidFill>
          </w14:textFill>
        </w:rPr>
        <w:t xml:space="preserve"> menjadi pajak daerah maka seluruh piutang PBB-P2 yang tercatat di Ditjen Pajak diserahkan pula kepada Pem</w:t>
      </w:r>
      <w:r>
        <w:rPr>
          <w:rFonts w:ascii="Bookman Old Style" w:hAnsi="Bookman Old Style" w:cs="Arial"/>
          <w:color w:val="000000" w:themeColor="text1"/>
          <w:lang w:val="en-GB"/>
          <w14:textFill>
            <w14:solidFill>
              <w14:schemeClr w14:val="tx1"/>
            </w14:solidFill>
          </w14:textFill>
        </w:rPr>
        <w:t>erintah Daerah</w:t>
      </w:r>
      <w:r>
        <w:rPr>
          <w:rFonts w:ascii="Bookman Old Style" w:hAnsi="Bookman Old Style" w:cs="Arial"/>
          <w:color w:val="000000" w:themeColor="text1"/>
          <w:lang w:val="id-ID"/>
          <w14:textFill>
            <w14:solidFill>
              <w14:schemeClr w14:val="tx1"/>
            </w14:solidFill>
          </w14:textFill>
        </w:rPr>
        <w:t xml:space="preserve">. Dalam penyerahan data piutang PBB-P2 Ditjen Pajak mempunyai tanggung jawab untuk meyerahkan data dan saldo piutang yang seakurat mungkin. Sesuai dengan peraturan perundang-undangan dibidang perpajakan, PBB-P2 merupakan jenis pajak yang dipungut berdasarkan sistem </w:t>
      </w:r>
      <w:r>
        <w:rPr>
          <w:rFonts w:ascii="Bookman Old Style" w:hAnsi="Bookman Old Style" w:cs="Arial"/>
          <w:i/>
          <w:color w:val="000000" w:themeColor="text1"/>
          <w:lang w:val="id-ID"/>
          <w14:textFill>
            <w14:solidFill>
              <w14:schemeClr w14:val="tx1"/>
            </w14:solidFill>
          </w14:textFill>
        </w:rPr>
        <w:t>official assessment</w:t>
      </w:r>
      <w:r>
        <w:rPr>
          <w:rFonts w:ascii="Bookman Old Style" w:hAnsi="Bookman Old Style" w:cs="Arial"/>
          <w:color w:val="000000" w:themeColor="text1"/>
          <w:lang w:val="id-ID"/>
          <w14:textFill>
            <w14:solidFill>
              <w14:schemeClr w14:val="tx1"/>
            </w14:solidFill>
          </w14:textFill>
        </w:rPr>
        <w:t xml:space="preserve">. Pajak ditetapkan oleh fiskus melalui kegiatan pendataan yang dilakukan </w:t>
      </w:r>
      <w:r>
        <w:rPr>
          <w:rFonts w:ascii="Bookman Old Style" w:hAnsi="Bookman Old Style" w:cs="Arial"/>
          <w:color w:val="000000" w:themeColor="text1"/>
          <w:lang w:val="en-GB"/>
          <w14:textFill>
            <w14:solidFill>
              <w14:schemeClr w14:val="tx1"/>
            </w14:solidFill>
          </w14:textFill>
        </w:rPr>
        <w:t>s</w:t>
      </w:r>
      <w:r>
        <w:rPr>
          <w:rFonts w:ascii="Bookman Old Style" w:hAnsi="Bookman Old Style" w:cs="Arial"/>
          <w:color w:val="000000" w:themeColor="text1"/>
          <w:lang w:val="id-ID"/>
          <w14:textFill>
            <w14:solidFill>
              <w14:schemeClr w14:val="tx1"/>
            </w14:solidFill>
          </w14:textFill>
        </w:rPr>
        <w:t xml:space="preserve">ecara berkala. Saat pemungutan PBB-P2 masih dilakukan oleh Ditjen Pajak, dasar perhitungan pajak terutang yang tercantum dalam SPPT  seringkali tidak sesuai dengan keadaan objek terkini. Kesalahan lain yang ditemui adalah </w:t>
      </w:r>
      <w:r>
        <w:rPr>
          <w:rFonts w:ascii="Bookman Old Style" w:hAnsi="Bookman Old Style" w:cs="Arial"/>
          <w:color w:val="000000" w:themeColor="text1"/>
          <w14:textFill>
            <w14:solidFill>
              <w14:schemeClr w14:val="tx1"/>
            </w14:solidFill>
          </w14:textFill>
        </w:rPr>
        <w:t xml:space="preserve"> </w:t>
      </w:r>
      <w:r>
        <w:rPr>
          <w:rFonts w:ascii="Bookman Old Style" w:hAnsi="Bookman Old Style" w:cs="Arial"/>
          <w:color w:val="000000" w:themeColor="text1"/>
          <w:lang w:val="id-ID"/>
          <w14:textFill>
            <w14:solidFill>
              <w14:schemeClr w14:val="tx1"/>
            </w14:solidFill>
          </w14:textFill>
        </w:rPr>
        <w:t>nama pemilik</w:t>
      </w:r>
      <w:r>
        <w:rPr>
          <w:rFonts w:ascii="Bookman Old Style" w:hAnsi="Bookman Old Style" w:cs="Arial"/>
          <w:color w:val="000000" w:themeColor="text1"/>
          <w:lang w:val="en-GB"/>
          <w14:textFill>
            <w14:solidFill>
              <w14:schemeClr w14:val="tx1"/>
            </w14:solidFill>
          </w14:textFill>
        </w:rPr>
        <w:t xml:space="preserve"> atau W</w:t>
      </w:r>
      <w:r>
        <w:rPr>
          <w:rFonts w:ascii="Bookman Old Style" w:hAnsi="Bookman Old Style" w:cs="Arial"/>
          <w:color w:val="000000" w:themeColor="text1"/>
          <w:lang w:val="id-ID"/>
          <w14:textFill>
            <w14:solidFill>
              <w14:schemeClr w14:val="tx1"/>
            </w14:solidFill>
          </w14:textFill>
        </w:rPr>
        <w:t xml:space="preserve">ajib </w:t>
      </w:r>
      <w:r>
        <w:rPr>
          <w:rFonts w:ascii="Bookman Old Style" w:hAnsi="Bookman Old Style" w:cs="Arial"/>
          <w:color w:val="000000" w:themeColor="text1"/>
          <w:lang w:val="en-GB"/>
          <w14:textFill>
            <w14:solidFill>
              <w14:schemeClr w14:val="tx1"/>
            </w14:solidFill>
          </w14:textFill>
        </w:rPr>
        <w:t>P</w:t>
      </w:r>
      <w:r>
        <w:rPr>
          <w:rFonts w:ascii="Bookman Old Style" w:hAnsi="Bookman Old Style" w:cs="Arial"/>
          <w:color w:val="000000" w:themeColor="text1"/>
          <w:lang w:val="id-ID"/>
          <w14:textFill>
            <w14:solidFill>
              <w14:schemeClr w14:val="tx1"/>
            </w14:solidFill>
          </w14:textFill>
        </w:rPr>
        <w:t>ajak yang tercantum SPPT tidak sesuai dengan nama pemilik</w:t>
      </w:r>
      <w:r>
        <w:rPr>
          <w:rFonts w:ascii="Bookman Old Style" w:hAnsi="Bookman Old Style" w:cs="Arial"/>
          <w:color w:val="000000" w:themeColor="text1"/>
          <w:lang w:val="en-GB"/>
          <w14:textFill>
            <w14:solidFill>
              <w14:schemeClr w14:val="tx1"/>
            </w14:solidFill>
          </w14:textFill>
        </w:rPr>
        <w:t xml:space="preserve"> atau W</w:t>
      </w:r>
      <w:r>
        <w:rPr>
          <w:rFonts w:ascii="Bookman Old Style" w:hAnsi="Bookman Old Style" w:cs="Arial"/>
          <w:color w:val="000000" w:themeColor="text1"/>
          <w:lang w:val="id-ID"/>
          <w14:textFill>
            <w14:solidFill>
              <w14:schemeClr w14:val="tx1"/>
            </w14:solidFill>
          </w14:textFill>
        </w:rPr>
        <w:t xml:space="preserve">ajib </w:t>
      </w:r>
      <w:r>
        <w:rPr>
          <w:rFonts w:ascii="Bookman Old Style" w:hAnsi="Bookman Old Style" w:cs="Arial"/>
          <w:color w:val="000000" w:themeColor="text1"/>
          <w:lang w:val="en-GB"/>
          <w14:textFill>
            <w14:solidFill>
              <w14:schemeClr w14:val="tx1"/>
            </w14:solidFill>
          </w14:textFill>
        </w:rPr>
        <w:t>P</w:t>
      </w:r>
      <w:r>
        <w:rPr>
          <w:rFonts w:ascii="Bookman Old Style" w:hAnsi="Bookman Old Style" w:cs="Arial"/>
          <w:color w:val="000000" w:themeColor="text1"/>
          <w:lang w:val="id-ID"/>
          <w14:textFill>
            <w14:solidFill>
              <w14:schemeClr w14:val="tx1"/>
            </w14:solidFill>
          </w14:textFill>
        </w:rPr>
        <w:t>ajak sebenarnya, objek pajak yang tercantum dalam SPPT tidak ditemukan fisiknya, dan penerbitan SPPT ganda atas objek pajak yang sama dengan nama pemilik yang berbeda. Akibat kesalahan-kesalahan tersebut, wajib pajak menjadi enggan.</w:t>
      </w:r>
    </w:p>
    <w:p>
      <w:pPr>
        <w:pStyle w:val="18"/>
        <w:ind w:left="851"/>
        <w:rPr>
          <w:rFonts w:ascii="Bookman Old Style" w:hAnsi="Bookman Old Style" w:cs="Arial"/>
          <w:lang w:val="id-ID"/>
        </w:rPr>
      </w:pPr>
    </w:p>
    <w:p>
      <w:pPr>
        <w:pStyle w:val="18"/>
        <w:ind w:left="851"/>
        <w:rPr>
          <w:rFonts w:ascii="Bookman Old Style" w:hAnsi="Bookman Old Style" w:cs="Arial"/>
          <w:lang w:val="id-ID"/>
        </w:rPr>
      </w:pPr>
    </w:p>
    <w:p>
      <w:pPr>
        <w:pStyle w:val="18"/>
        <w:numPr>
          <w:ilvl w:val="1"/>
          <w:numId w:val="10"/>
        </w:numPr>
        <w:ind w:left="851" w:hanging="284"/>
        <w:rPr>
          <w:rFonts w:ascii="Bookman Old Style" w:hAnsi="Bookman Old Style" w:cs="Arial"/>
          <w:lang w:val="id-ID"/>
        </w:rPr>
      </w:pPr>
      <w:r>
        <w:rPr>
          <w:rFonts w:ascii="Bookman Old Style" w:hAnsi="Bookman Old Style" w:cs="Arial"/>
          <w:lang w:val="id-ID"/>
        </w:rPr>
        <w:t>Bidang PDRD</w:t>
      </w:r>
    </w:p>
    <w:p>
      <w:pPr>
        <w:pStyle w:val="18"/>
        <w:numPr>
          <w:ilvl w:val="0"/>
          <w:numId w:val="16"/>
        </w:numPr>
        <w:spacing w:before="0"/>
        <w:rPr>
          <w:rFonts w:ascii="Bookman Old Style" w:hAnsi="Bookman Old Style" w:cs="Arial"/>
          <w:lang w:val="zh-CN"/>
        </w:rPr>
      </w:pPr>
      <w:r>
        <w:rPr>
          <w:rFonts w:ascii="Bookman Old Style" w:hAnsi="Bookman Old Style" w:cs="Arial"/>
          <w:lang w:val="zh-CN"/>
        </w:rPr>
        <w:t>Kurang maksimalnya SDM yang ada di UPT dalam menggali potensi daerah;</w:t>
      </w:r>
    </w:p>
    <w:p>
      <w:pPr>
        <w:pStyle w:val="18"/>
        <w:numPr>
          <w:ilvl w:val="0"/>
          <w:numId w:val="16"/>
        </w:numPr>
        <w:spacing w:before="0"/>
        <w:rPr>
          <w:rFonts w:ascii="Bookman Old Style" w:hAnsi="Bookman Old Style" w:cs="Arial"/>
          <w:lang w:val="zh-CN"/>
        </w:rPr>
      </w:pPr>
      <w:r>
        <w:rPr>
          <w:rFonts w:ascii="Bookman Old Style" w:hAnsi="Bookman Old Style" w:cs="Arial"/>
          <w:lang w:val="zh-CN"/>
        </w:rPr>
        <w:t>Rendahnya kepatuhan Wajib Pajak atau masyarakat mengakibatkan terhambatnya penerimaan pajak, karena pajak dianggap beban oleh sebagian masyarakat;</w:t>
      </w:r>
    </w:p>
    <w:p>
      <w:pPr>
        <w:pStyle w:val="18"/>
        <w:numPr>
          <w:ilvl w:val="0"/>
          <w:numId w:val="16"/>
        </w:numPr>
        <w:spacing w:before="0"/>
        <w:rPr>
          <w:rFonts w:ascii="Bookman Old Style" w:hAnsi="Bookman Old Style" w:cs="Arial"/>
          <w:lang w:val="zh-CN"/>
        </w:rPr>
      </w:pPr>
      <w:r>
        <w:rPr>
          <w:rFonts w:ascii="Bookman Old Style" w:hAnsi="Bookman Old Style" w:cs="Arial"/>
          <w:lang w:val="zh-CN"/>
        </w:rPr>
        <w:t>Pengelolaan pajak sudah terselenggara secara online namun belum tersosialisasikan dengan baik ke seluruh masyarakat kabupaten malang, sehingga banyak yang kurang memahami;</w:t>
      </w:r>
    </w:p>
    <w:p>
      <w:pPr>
        <w:pStyle w:val="18"/>
        <w:numPr>
          <w:ilvl w:val="0"/>
          <w:numId w:val="16"/>
        </w:numPr>
        <w:spacing w:before="0"/>
        <w:rPr>
          <w:rFonts w:ascii="Bookman Old Style" w:hAnsi="Bookman Old Style" w:cs="Arial"/>
          <w:lang w:val="zh-CN"/>
        </w:rPr>
      </w:pPr>
      <w:r>
        <w:rPr>
          <w:rFonts w:ascii="Bookman Old Style" w:hAnsi="Bookman Old Style" w:cs="Arial"/>
          <w:lang w:val="zh-CN"/>
        </w:rPr>
        <w:t>Inovasi yang dijalankan secara online saat ini adalah SIPANJI, dalam pelaksanaan dilapangan masih sering terkendala dengan pembayaran melalui transfer yang membutuhkan waktu agak lama.</w:t>
      </w:r>
    </w:p>
    <w:p>
      <w:pPr>
        <w:pStyle w:val="18"/>
        <w:numPr>
          <w:ilvl w:val="0"/>
          <w:numId w:val="16"/>
        </w:numPr>
        <w:spacing w:before="0"/>
        <w:rPr>
          <w:rFonts w:ascii="Bookman Old Style" w:hAnsi="Bookman Old Style" w:cs="Arial"/>
          <w:lang w:val="zh-CN"/>
        </w:rPr>
      </w:pPr>
      <w:r>
        <w:rPr>
          <w:rFonts w:ascii="Bookman Old Style" w:hAnsi="Bookman Old Style" w:cs="Arial"/>
          <w:lang w:val="zh-CN"/>
        </w:rPr>
        <w:t>Luasnya kondisi geografis Kabupaten Malang sehingga data WP dan OP belum update dari desa-desa, mengingat intensifikasi dan ekstensifikasi pajak adalah sebagian tugas desa, nantinya desa akan menerima 10% dari penerimaan pajak;</w:t>
      </w:r>
    </w:p>
    <w:p>
      <w:pPr>
        <w:pStyle w:val="18"/>
        <w:numPr>
          <w:ilvl w:val="0"/>
          <w:numId w:val="16"/>
        </w:numPr>
        <w:spacing w:before="0"/>
        <w:rPr>
          <w:rFonts w:ascii="Bookman Old Style" w:hAnsi="Bookman Old Style" w:cs="Arial"/>
          <w:lang w:val="zh-CN"/>
        </w:rPr>
      </w:pPr>
      <w:r>
        <w:rPr>
          <w:rFonts w:ascii="Bookman Old Style" w:hAnsi="Bookman Old Style" w:cs="Arial"/>
          <w:lang w:val="zh-CN"/>
        </w:rPr>
        <w:t>Keterbatasan jumlah dan lokasi atm dan agen-agen Bank Jatim sebagai bank persepsi pembayaran pajak, sehingga menyulitkan WP membayar melalui bank lain;</w:t>
      </w:r>
    </w:p>
    <w:p>
      <w:pPr>
        <w:pStyle w:val="18"/>
        <w:numPr>
          <w:ilvl w:val="0"/>
          <w:numId w:val="16"/>
        </w:numPr>
        <w:spacing w:before="0"/>
        <w:rPr>
          <w:rFonts w:ascii="Bookman Old Style" w:hAnsi="Bookman Old Style" w:cs="Arial"/>
          <w:lang w:val="zh-CN"/>
        </w:rPr>
      </w:pPr>
      <w:r>
        <w:rPr>
          <w:rFonts w:ascii="Bookman Old Style" w:hAnsi="Bookman Old Style" w:cs="Arial"/>
          <w:lang w:val="zh-CN"/>
        </w:rPr>
        <w:t>Potensi pajak belum tergali maksimal, saat ini data potensi pajak sebagian besar merupakan data pajak yang dapat dipungut;</w:t>
      </w:r>
    </w:p>
    <w:p>
      <w:pPr>
        <w:pStyle w:val="18"/>
        <w:numPr>
          <w:ilvl w:val="0"/>
          <w:numId w:val="16"/>
        </w:numPr>
        <w:spacing w:before="0"/>
        <w:rPr>
          <w:rFonts w:ascii="Bookman Old Style" w:hAnsi="Bookman Old Style" w:cs="Arial"/>
          <w:lang w:val="zh-CN"/>
        </w:rPr>
      </w:pPr>
      <w:r>
        <w:rPr>
          <w:rFonts w:ascii="Bookman Old Style" w:hAnsi="Bookman Old Style" w:cs="Arial"/>
          <w:lang w:val="zh-CN"/>
        </w:rPr>
        <w:t>Ada tusi yang belum tertuang dalam tusi Bidang PDRD yaitu penyusunan target Pendapatan daerah sector retribusi, Dana Perimbangan dan Lain-lain Pendapatan sehingga perumusan target tidak maksimal. Belum ada subbid yang khusus menangani IT;</w:t>
      </w:r>
    </w:p>
    <w:p>
      <w:pPr>
        <w:pStyle w:val="18"/>
        <w:numPr>
          <w:ilvl w:val="0"/>
          <w:numId w:val="16"/>
        </w:numPr>
        <w:spacing w:before="0"/>
        <w:rPr>
          <w:rFonts w:ascii="Bookman Old Style" w:hAnsi="Bookman Old Style" w:cs="Arial"/>
          <w:lang w:val="zh-CN"/>
        </w:rPr>
      </w:pPr>
      <w:r>
        <w:rPr>
          <w:rFonts w:ascii="Bookman Old Style" w:hAnsi="Bookman Old Style" w:cs="Arial"/>
          <w:lang w:val="zh-CN"/>
        </w:rPr>
        <w:t>Kurangnya koordinasi dengan Dinas lain missal DPMPTSP;</w:t>
      </w:r>
    </w:p>
    <w:p>
      <w:pPr>
        <w:pStyle w:val="18"/>
        <w:numPr>
          <w:ilvl w:val="0"/>
          <w:numId w:val="16"/>
        </w:numPr>
        <w:spacing w:before="0"/>
        <w:rPr>
          <w:rFonts w:ascii="Bookman Old Style" w:hAnsi="Bookman Old Style" w:cs="Arial"/>
          <w:lang w:val="zh-CN"/>
        </w:rPr>
      </w:pPr>
      <w:r>
        <w:rPr>
          <w:rFonts w:ascii="Bookman Old Style" w:hAnsi="Bookman Old Style" w:cs="Arial"/>
          <w:lang w:val="zh-CN"/>
        </w:rPr>
        <w:t>Potensi Pajak Mineral Bukan Logam dan Batuan (MBLB) belum tergali secara maksimal karena kewenangan bidang ESDM menjadi kewenangan Provinsi.</w:t>
      </w:r>
    </w:p>
    <w:p>
      <w:pPr>
        <w:pStyle w:val="18"/>
        <w:spacing w:before="0"/>
        <w:ind w:left="851"/>
        <w:rPr>
          <w:rFonts w:ascii="Bookman Old Style" w:hAnsi="Bookman Old Style" w:cs="Arial"/>
          <w:lang w:val="id-ID"/>
        </w:rPr>
      </w:pPr>
      <w:r>
        <w:rPr>
          <w:rFonts w:ascii="Bookman Old Style" w:hAnsi="Bookman Old Style" w:cs="Arial"/>
          <w:lang w:val="id-ID"/>
        </w:rPr>
        <w:t>B</w:t>
      </w:r>
      <w:r>
        <w:rPr>
          <w:rFonts w:ascii="Bookman Old Style" w:hAnsi="Bookman Old Style" w:cs="Arial"/>
        </w:rPr>
        <w:t>eberapa langkah-langkah menghadapi permasalahan di atas</w:t>
      </w:r>
      <w:r>
        <w:rPr>
          <w:rFonts w:ascii="Bookman Old Style" w:hAnsi="Bookman Old Style" w:cs="Arial"/>
          <w:lang w:val="id-ID"/>
        </w:rPr>
        <w:t xml:space="preserve"> adalah :</w:t>
      </w:r>
    </w:p>
    <w:p>
      <w:pPr>
        <w:pStyle w:val="18"/>
        <w:numPr>
          <w:ilvl w:val="0"/>
          <w:numId w:val="17"/>
        </w:numPr>
        <w:spacing w:before="0"/>
        <w:rPr>
          <w:rFonts w:ascii="Bookman Old Style" w:hAnsi="Bookman Old Style" w:cs="Arial"/>
          <w:lang w:val="zh-CN"/>
        </w:rPr>
      </w:pPr>
      <w:r>
        <w:rPr>
          <w:rFonts w:ascii="Bookman Old Style" w:hAnsi="Bookman Old Style" w:cs="Arial"/>
          <w:lang w:val="zh-CN"/>
        </w:rPr>
        <w:t>Memaksimalkan SDM UPT dalam menggali potensi pajak daerah dengan cara memberikan bimbingan teknis perpajakan sehingga penerimaan dari sektor pajak lebih meningkat lagi;</w:t>
      </w:r>
    </w:p>
    <w:p>
      <w:pPr>
        <w:pStyle w:val="18"/>
        <w:numPr>
          <w:ilvl w:val="0"/>
          <w:numId w:val="17"/>
        </w:numPr>
        <w:spacing w:before="0"/>
        <w:rPr>
          <w:rFonts w:ascii="Bookman Old Style" w:hAnsi="Bookman Old Style" w:cs="Arial"/>
          <w:lang w:val="zh-CN"/>
        </w:rPr>
      </w:pPr>
      <w:r>
        <w:rPr>
          <w:rFonts w:ascii="Bookman Old Style" w:hAnsi="Bookman Old Style" w:cs="Arial"/>
          <w:lang w:val="zh-CN"/>
        </w:rPr>
        <w:t>Memberikan penyuluhan untuk kesadaran wajib pajak;</w:t>
      </w:r>
    </w:p>
    <w:p>
      <w:pPr>
        <w:pStyle w:val="18"/>
        <w:numPr>
          <w:ilvl w:val="0"/>
          <w:numId w:val="17"/>
        </w:numPr>
        <w:spacing w:before="0"/>
        <w:rPr>
          <w:rFonts w:ascii="Bookman Old Style" w:hAnsi="Bookman Old Style" w:cs="Arial"/>
          <w:lang w:val="zh-CN"/>
        </w:rPr>
      </w:pPr>
      <w:r>
        <w:rPr>
          <w:rFonts w:ascii="Bookman Old Style" w:hAnsi="Bookman Old Style" w:cs="Arial"/>
          <w:lang w:val="zh-CN"/>
        </w:rPr>
        <w:t>Sosialisasi secara terus menerus kepada masyarakat kabupaten malang tentang sistem pelanyanan pajak daerah secara online;</w:t>
      </w:r>
    </w:p>
    <w:p>
      <w:pPr>
        <w:pStyle w:val="18"/>
        <w:numPr>
          <w:ilvl w:val="0"/>
          <w:numId w:val="17"/>
        </w:numPr>
        <w:spacing w:before="0"/>
        <w:rPr>
          <w:rFonts w:ascii="Bookman Old Style" w:hAnsi="Bookman Old Style" w:cs="Arial"/>
          <w:lang w:val="zh-CN"/>
        </w:rPr>
      </w:pPr>
      <w:r>
        <w:rPr>
          <w:rFonts w:ascii="Bookman Old Style" w:hAnsi="Bookman Old Style" w:cs="Arial"/>
          <w:lang w:val="zh-CN"/>
        </w:rPr>
        <w:t>Meningkatkan koordinasi dengan Bank Pembangunan Daerah Jawa Timur untuk dapat lebih cepat dalam pelayanan setor tunai;</w:t>
      </w:r>
    </w:p>
    <w:p>
      <w:pPr>
        <w:pStyle w:val="18"/>
        <w:numPr>
          <w:ilvl w:val="0"/>
          <w:numId w:val="17"/>
        </w:numPr>
        <w:spacing w:before="0"/>
        <w:rPr>
          <w:rFonts w:ascii="Bookman Old Style" w:hAnsi="Bookman Old Style" w:cs="Arial"/>
          <w:lang w:val="zh-CN"/>
        </w:rPr>
      </w:pPr>
      <w:r>
        <w:rPr>
          <w:rFonts w:ascii="Bookman Old Style" w:hAnsi="Bookman Old Style" w:cs="Arial"/>
          <w:lang w:val="zh-CN"/>
        </w:rPr>
        <w:t>Perlunya aplikasi yang dapat menunjang kemudahan penyampaian informasi Desa-desa untuk memberikan informasi Objek Pajak agar dilakukan pendataan</w:t>
      </w:r>
    </w:p>
    <w:p>
      <w:pPr>
        <w:pStyle w:val="18"/>
        <w:numPr>
          <w:ilvl w:val="0"/>
          <w:numId w:val="17"/>
        </w:numPr>
        <w:spacing w:before="0"/>
        <w:rPr>
          <w:rFonts w:ascii="Bookman Old Style" w:hAnsi="Bookman Old Style" w:cs="Arial"/>
          <w:lang w:val="zh-CN"/>
        </w:rPr>
      </w:pPr>
      <w:r>
        <w:rPr>
          <w:rFonts w:ascii="Bookman Old Style" w:hAnsi="Bookman Old Style" w:cs="Arial"/>
          <w:lang w:val="zh-CN"/>
        </w:rPr>
        <w:t>Perlunya peningkatan kerjasama dengan Bank Persepsi dan Tempat Pembayaran yang lebih mendekatkan kepada masyarakat seperti Indomaret dan Alfamaret</w:t>
      </w:r>
    </w:p>
    <w:p>
      <w:pPr>
        <w:pStyle w:val="18"/>
        <w:numPr>
          <w:ilvl w:val="0"/>
          <w:numId w:val="17"/>
        </w:numPr>
        <w:spacing w:before="0"/>
        <w:rPr>
          <w:rFonts w:ascii="Bookman Old Style" w:hAnsi="Bookman Old Style" w:cs="Arial"/>
          <w:lang w:val="zh-CN"/>
        </w:rPr>
      </w:pPr>
      <w:r>
        <w:rPr>
          <w:rFonts w:ascii="Bookman Old Style" w:hAnsi="Bookman Old Style" w:cs="Arial"/>
          <w:lang w:val="zh-CN"/>
        </w:rPr>
        <w:t>Perlunya menghitung persis jumlah wp dan potensi penerimaan pajak</w:t>
      </w:r>
    </w:p>
    <w:p>
      <w:pPr>
        <w:pStyle w:val="18"/>
        <w:numPr>
          <w:ilvl w:val="0"/>
          <w:numId w:val="17"/>
        </w:numPr>
        <w:spacing w:before="0"/>
        <w:rPr>
          <w:rFonts w:ascii="Bookman Old Style" w:hAnsi="Bookman Old Style" w:cs="Arial"/>
          <w:lang w:val="zh-CN"/>
        </w:rPr>
      </w:pPr>
      <w:r>
        <w:rPr>
          <w:rFonts w:ascii="Bookman Old Style" w:hAnsi="Bookman Old Style" w:cs="Arial"/>
          <w:lang w:val="zh-CN"/>
        </w:rPr>
        <w:t>Bidang PDRD melakukan fungsi koordinasi untuk perumusan dan perencanaan target diluar Pajak Daerah</w:t>
      </w:r>
    </w:p>
    <w:p>
      <w:pPr>
        <w:pStyle w:val="18"/>
        <w:numPr>
          <w:ilvl w:val="0"/>
          <w:numId w:val="17"/>
        </w:numPr>
        <w:spacing w:before="0"/>
        <w:rPr>
          <w:rFonts w:ascii="Bookman Old Style" w:hAnsi="Bookman Old Style" w:cs="Arial"/>
          <w:lang w:val="zh-CN"/>
        </w:rPr>
      </w:pPr>
      <w:r>
        <w:rPr>
          <w:rFonts w:ascii="Bookman Old Style" w:hAnsi="Bookman Old Style" w:cs="Arial"/>
          <w:lang w:val="zh-CN"/>
        </w:rPr>
        <w:t>Perlunya integrasi sistem dengan Dinas Perijinan antara lain terkait Pajak Reklame</w:t>
      </w:r>
    </w:p>
    <w:p>
      <w:pPr>
        <w:pStyle w:val="18"/>
        <w:numPr>
          <w:ilvl w:val="0"/>
          <w:numId w:val="17"/>
        </w:numPr>
        <w:spacing w:before="0"/>
        <w:rPr>
          <w:rFonts w:ascii="Bookman Old Style" w:hAnsi="Bookman Old Style" w:cs="Arial"/>
          <w:lang w:val="zh-CN"/>
        </w:rPr>
      </w:pPr>
      <w:r>
        <w:rPr>
          <w:rFonts w:ascii="Bookman Old Style" w:hAnsi="Bookman Old Style" w:cs="Arial"/>
          <w:lang w:val="zh-CN"/>
        </w:rPr>
        <w:t>Membuat struktur organisasi yang mengakomodasi kebutuhan dalam hal IT</w:t>
      </w:r>
    </w:p>
    <w:p>
      <w:pPr>
        <w:pStyle w:val="18"/>
        <w:spacing w:before="0"/>
        <w:ind w:left="1211"/>
        <w:rPr>
          <w:rFonts w:ascii="Bookman Old Style" w:hAnsi="Bookman Old Style" w:cs="Arial"/>
          <w:lang w:val="zh-CN"/>
        </w:rPr>
      </w:pPr>
    </w:p>
    <w:p>
      <w:pPr>
        <w:pStyle w:val="18"/>
        <w:numPr>
          <w:ilvl w:val="1"/>
          <w:numId w:val="10"/>
        </w:numPr>
        <w:spacing w:before="0"/>
        <w:ind w:left="851" w:hanging="284"/>
        <w:rPr>
          <w:rFonts w:ascii="Bookman Old Style" w:hAnsi="Bookman Old Style" w:cs="Arial"/>
          <w:lang w:val="id-ID"/>
        </w:rPr>
      </w:pPr>
      <w:r>
        <w:rPr>
          <w:rFonts w:ascii="Bookman Old Style" w:hAnsi="Bookman Old Style" w:cs="Arial"/>
          <w:lang w:val="id-ID"/>
        </w:rPr>
        <w:t>Bidang P3O</w:t>
      </w:r>
    </w:p>
    <w:p>
      <w:pPr>
        <w:pStyle w:val="18"/>
        <w:numPr>
          <w:ilvl w:val="0"/>
          <w:numId w:val="18"/>
        </w:numPr>
        <w:suppressAutoHyphens w:val="0"/>
        <w:spacing w:before="0"/>
        <w:ind w:left="1134" w:hanging="283"/>
        <w:rPr>
          <w:rFonts w:ascii="Bookman Old Style" w:hAnsi="Bookman Old Style" w:cs="Arial"/>
        </w:rPr>
      </w:pPr>
      <w:r>
        <w:rPr>
          <w:rFonts w:ascii="Bookman Old Style" w:hAnsi="Bookman Old Style" w:cs="Arial"/>
        </w:rPr>
        <w:t>Luasnya wilayah Kabupaten Malang dengan jumlah wajib pajak yang belum didukung jumlah aparatur pemungut pajak dan tidak adanya ASN Fungsional Juru Sita sebagai bagian dari Penindakan;</w:t>
      </w:r>
    </w:p>
    <w:p>
      <w:pPr>
        <w:pStyle w:val="18"/>
        <w:numPr>
          <w:ilvl w:val="0"/>
          <w:numId w:val="18"/>
        </w:numPr>
        <w:suppressAutoHyphens w:val="0"/>
        <w:spacing w:before="0"/>
        <w:ind w:left="1134" w:hanging="283"/>
        <w:rPr>
          <w:rFonts w:ascii="Bookman Old Style" w:hAnsi="Bookman Old Style" w:cs="Arial"/>
        </w:rPr>
      </w:pPr>
      <w:r>
        <w:rPr>
          <w:rFonts w:ascii="Bookman Old Style" w:hAnsi="Bookman Old Style" w:cs="Arial"/>
        </w:rPr>
        <w:t>Banyaknya pergantian domisili wajib pajak serta kepemilikan tempat pengenaan pajak yang berada di luar Kabupaten Malang;</w:t>
      </w:r>
    </w:p>
    <w:p>
      <w:pPr>
        <w:pStyle w:val="18"/>
        <w:numPr>
          <w:ilvl w:val="0"/>
          <w:numId w:val="18"/>
        </w:numPr>
        <w:suppressAutoHyphens w:val="0"/>
        <w:spacing w:before="0"/>
        <w:ind w:left="1134" w:hanging="283"/>
        <w:rPr>
          <w:rFonts w:ascii="Bookman Old Style" w:hAnsi="Bookman Old Style" w:cs="Arial"/>
        </w:rPr>
      </w:pPr>
      <w:r>
        <w:rPr>
          <w:rFonts w:ascii="Bookman Old Style" w:hAnsi="Bookman Old Style" w:cs="Arial"/>
        </w:rPr>
        <w:t>Terdapat obyek pajak yang masih belum dilegalitaskan melalui porforasi pajak;</w:t>
      </w:r>
    </w:p>
    <w:p>
      <w:pPr>
        <w:pStyle w:val="18"/>
        <w:numPr>
          <w:ilvl w:val="0"/>
          <w:numId w:val="18"/>
        </w:numPr>
        <w:suppressAutoHyphens w:val="0"/>
        <w:spacing w:before="0"/>
        <w:ind w:left="1134" w:hanging="283"/>
        <w:rPr>
          <w:rFonts w:ascii="Bookman Old Style" w:hAnsi="Bookman Old Style" w:cs="Arial"/>
        </w:rPr>
      </w:pPr>
      <w:r>
        <w:rPr>
          <w:rFonts w:ascii="Bookman Old Style" w:hAnsi="Bookman Old Style" w:cs="Arial"/>
        </w:rPr>
        <w:t xml:space="preserve">Kurang optimalnya konektifitas database Bidang PDRD dengan P3O atau belum adanya sistem aplikasi yang memudahkan monitoring tunggakansehingga data tunggakan tidak </w:t>
      </w:r>
      <w:r>
        <w:rPr>
          <w:rFonts w:ascii="Bookman Old Style" w:hAnsi="Bookman Old Style" w:cs="Arial"/>
          <w:i/>
        </w:rPr>
        <w:t>Realtime</w:t>
      </w:r>
      <w:r>
        <w:rPr>
          <w:rFonts w:ascii="Bookman Old Style" w:hAnsi="Bookman Old Style" w:cs="Arial"/>
        </w:rPr>
        <w:t xml:space="preserve"> / terkini, termasuk </w:t>
      </w:r>
      <w:r>
        <w:rPr>
          <w:rFonts w:ascii="Bookman Old Style" w:hAnsi="Bookman Old Style" w:cs="Arial"/>
          <w:color w:val="000000"/>
        </w:rPr>
        <w:t>data tunggakan pajak yang tercatat pada Unit Pelaksana Teknis;</w:t>
      </w:r>
    </w:p>
    <w:p>
      <w:pPr>
        <w:pStyle w:val="18"/>
        <w:numPr>
          <w:ilvl w:val="0"/>
          <w:numId w:val="18"/>
        </w:numPr>
        <w:ind w:left="1134" w:hanging="283"/>
        <w:rPr>
          <w:rFonts w:ascii="Bookman Old Style" w:hAnsi="Bookman Old Style" w:cs="Arial"/>
          <w:color w:val="000000"/>
        </w:rPr>
      </w:pPr>
      <w:r>
        <w:rPr>
          <w:rFonts w:ascii="Bookman Old Style" w:hAnsi="Bookman Old Style" w:cs="Arial"/>
          <w:color w:val="000000"/>
        </w:rPr>
        <w:t>Surat permohonan keringanan dari wajib pajak terlalu berdekatan dengan pelaksanaan kegiatan;</w:t>
      </w:r>
    </w:p>
    <w:p>
      <w:pPr>
        <w:pStyle w:val="18"/>
        <w:ind w:left="1134"/>
        <w:rPr>
          <w:rFonts w:ascii="Bookman Old Style" w:hAnsi="Bookman Old Style" w:cs="Arial"/>
          <w:color w:val="000000"/>
        </w:rPr>
      </w:pPr>
    </w:p>
    <w:p>
      <w:pPr>
        <w:pStyle w:val="18"/>
        <w:spacing w:before="0"/>
        <w:rPr>
          <w:rFonts w:ascii="Bookman Old Style" w:hAnsi="Bookman Old Style" w:cs="Arial"/>
          <w:color w:val="000000"/>
        </w:rPr>
      </w:pPr>
      <w:r>
        <w:rPr>
          <w:rFonts w:ascii="Bookman Old Style" w:hAnsi="Bookman Old Style" w:cs="Arial"/>
          <w:color w:val="000000"/>
          <w:lang w:val="id-ID"/>
        </w:rPr>
        <w:t>B</w:t>
      </w:r>
      <w:r>
        <w:rPr>
          <w:rFonts w:ascii="Bookman Old Style" w:hAnsi="Bookman Old Style" w:cs="Arial"/>
          <w:color w:val="000000"/>
        </w:rPr>
        <w:t>eberapa langkah-langkah menghadapi permasalahan di atas</w:t>
      </w:r>
      <w:r>
        <w:rPr>
          <w:rFonts w:ascii="Bookman Old Style" w:hAnsi="Bookman Old Style" w:cs="Arial"/>
          <w:color w:val="000000"/>
          <w:lang w:val="id-ID"/>
        </w:rPr>
        <w:t xml:space="preserve"> adalah :</w:t>
      </w:r>
    </w:p>
    <w:p>
      <w:pPr>
        <w:pStyle w:val="18"/>
        <w:numPr>
          <w:ilvl w:val="0"/>
          <w:numId w:val="19"/>
        </w:numPr>
        <w:spacing w:before="0"/>
        <w:ind w:left="1134" w:hanging="425"/>
        <w:rPr>
          <w:rFonts w:ascii="Bookman Old Style" w:hAnsi="Bookman Old Style" w:cs="Arial"/>
        </w:rPr>
      </w:pPr>
      <w:r>
        <w:rPr>
          <w:rFonts w:ascii="Bookman Old Style" w:hAnsi="Bookman Old Style" w:cs="Arial"/>
        </w:rPr>
        <w:t>Meningkatkan</w:t>
      </w:r>
      <w:r>
        <w:rPr>
          <w:rFonts w:ascii="Bookman Old Style" w:hAnsi="Bookman Old Style" w:cs="Arial"/>
          <w:color w:val="000000" w:themeColor="text1"/>
          <w14:textFill>
            <w14:solidFill>
              <w14:schemeClr w14:val="tx1"/>
            </w14:solidFill>
          </w14:textFill>
        </w:rPr>
        <w:t>kepatuhan pada Wajib Pajak dalam pelunasan pembayaran se</w:t>
      </w:r>
      <w:r>
        <w:rPr>
          <w:rFonts w:ascii="Bookman Old Style" w:hAnsi="Bookman Old Style" w:cs="Arial"/>
        </w:rPr>
        <w:t>hingga perolehan Pajak Daerah pada 9 (sembilan) Obyek Pajak akan meningkat;</w:t>
      </w:r>
    </w:p>
    <w:p>
      <w:pPr>
        <w:pStyle w:val="18"/>
        <w:numPr>
          <w:ilvl w:val="0"/>
          <w:numId w:val="19"/>
        </w:numPr>
        <w:spacing w:before="0"/>
        <w:ind w:left="1134" w:hanging="425"/>
        <w:rPr>
          <w:rFonts w:ascii="Bookman Old Style" w:hAnsi="Bookman Old Style" w:cs="Arial"/>
        </w:rPr>
      </w:pPr>
      <w:r>
        <w:rPr>
          <w:rFonts w:ascii="Bookman Old Style" w:hAnsi="Bookman Old Style" w:cs="Arial"/>
        </w:rPr>
        <w:t>Terlaksananya penanganan pajak secara intensif di lapangan dan upaya penambahan Wajib Pajak  serta Obyek Pajak baru;</w:t>
      </w:r>
    </w:p>
    <w:p>
      <w:pPr>
        <w:pStyle w:val="18"/>
        <w:numPr>
          <w:ilvl w:val="0"/>
          <w:numId w:val="19"/>
        </w:numPr>
        <w:spacing w:before="0"/>
        <w:ind w:left="1134" w:hanging="425"/>
        <w:rPr>
          <w:rFonts w:ascii="Bookman Old Style" w:hAnsi="Bookman Old Style" w:cs="Arial"/>
        </w:rPr>
      </w:pPr>
      <w:r>
        <w:rPr>
          <w:rFonts w:ascii="Bookman Old Style" w:hAnsi="Bookman Old Style" w:cs="Arial"/>
        </w:rPr>
        <w:t>Melaksanakan pemeriksaan lapangan untuk menentukan Nilai Wajar dalam  penentuan besaran keringanan Pajak.</w:t>
      </w:r>
    </w:p>
    <w:p>
      <w:pPr>
        <w:pStyle w:val="15"/>
        <w:spacing w:line="360" w:lineRule="auto"/>
        <w:jc w:val="both"/>
        <w:rPr>
          <w:rFonts w:ascii="Bookman Old Style" w:hAnsi="Bookman Old Style" w:cs="Arial"/>
          <w:sz w:val="24"/>
          <w:szCs w:val="24"/>
        </w:rPr>
      </w:pPr>
    </w:p>
    <w:p>
      <w:pPr>
        <w:pStyle w:val="15"/>
        <w:numPr>
          <w:ilvl w:val="1"/>
          <w:numId w:val="11"/>
        </w:numPr>
        <w:spacing w:line="360" w:lineRule="auto"/>
        <w:ind w:left="567" w:hanging="567"/>
        <w:jc w:val="both"/>
        <w:rPr>
          <w:rFonts w:ascii="Bookman Old Style" w:hAnsi="Bookman Old Style" w:cs="Arial"/>
          <w:b/>
          <w:sz w:val="24"/>
          <w:szCs w:val="24"/>
          <w:lang w:val="en-GB"/>
        </w:rPr>
      </w:pPr>
      <w:r>
        <w:rPr>
          <w:rFonts w:ascii="Bookman Old Style" w:hAnsi="Bookman Old Style" w:cs="Arial"/>
          <w:b/>
          <w:sz w:val="24"/>
          <w:szCs w:val="24"/>
          <w:lang w:val="en-GB"/>
        </w:rPr>
        <w:t xml:space="preserve">Reviu terhadap Rancangan Awal RKPD </w:t>
      </w:r>
    </w:p>
    <w:p>
      <w:pPr>
        <w:pStyle w:val="15"/>
        <w:spacing w:line="360" w:lineRule="auto"/>
        <w:ind w:left="567" w:firstLine="567"/>
        <w:jc w:val="both"/>
        <w:rPr>
          <w:rFonts w:ascii="Bookman Old Style" w:hAnsi="Bookman Old Style" w:cs="Arial"/>
          <w:sz w:val="24"/>
          <w:szCs w:val="24"/>
          <w:lang w:val="en-GB"/>
        </w:rPr>
      </w:pPr>
      <w:r>
        <w:rPr>
          <w:rFonts w:ascii="Bookman Old Style" w:hAnsi="Bookman Old Style" w:cs="Arial"/>
          <w:sz w:val="24"/>
          <w:szCs w:val="24"/>
          <w:lang w:val="en-GB"/>
        </w:rPr>
        <w:t xml:space="preserve">Pada sub bab ini disajikan perbandingan antara </w:t>
      </w:r>
      <w:r>
        <w:rPr>
          <w:rFonts w:ascii="Bookman Old Style" w:hAnsi="Bookman Old Style" w:cs="Arial"/>
          <w:sz w:val="24"/>
          <w:szCs w:val="24"/>
        </w:rPr>
        <w:t xml:space="preserve">Rancangan Awal </w:t>
      </w:r>
      <w:r>
        <w:rPr>
          <w:rFonts w:ascii="Bookman Old Style" w:hAnsi="Bookman Old Style" w:cs="Arial"/>
          <w:sz w:val="24"/>
          <w:szCs w:val="24"/>
          <w:lang w:val="en-GB"/>
        </w:rPr>
        <w:t>Rencana Kerja Pemerintah Daerah Tahun 20</w:t>
      </w:r>
      <w:r>
        <w:rPr>
          <w:rFonts w:ascii="Bookman Old Style" w:hAnsi="Bookman Old Style" w:cs="Arial"/>
          <w:sz w:val="24"/>
          <w:szCs w:val="24"/>
        </w:rPr>
        <w:t>20</w:t>
      </w:r>
      <w:r>
        <w:rPr>
          <w:rFonts w:ascii="Bookman Old Style" w:hAnsi="Bookman Old Style" w:cs="Arial"/>
          <w:sz w:val="24"/>
          <w:szCs w:val="24"/>
          <w:lang w:val="en-GB"/>
        </w:rPr>
        <w:t xml:space="preserve"> dengan analisis kebutuhan </w:t>
      </w:r>
      <w:r>
        <w:rPr>
          <w:rFonts w:ascii="Bookman Old Style" w:hAnsi="Bookman Old Style" w:cs="Arial"/>
          <w:sz w:val="24"/>
          <w:szCs w:val="24"/>
        </w:rPr>
        <w:t xml:space="preserve">Tahun 2020, </w:t>
      </w:r>
      <w:r>
        <w:rPr>
          <w:rFonts w:ascii="Bookman Old Style" w:hAnsi="Bookman Old Style" w:cs="Arial"/>
          <w:sz w:val="24"/>
          <w:szCs w:val="24"/>
          <w:lang w:val="en-GB"/>
        </w:rPr>
        <w:t xml:space="preserve">alasan </w:t>
      </w:r>
      <w:r>
        <w:rPr>
          <w:rFonts w:ascii="Bookman Old Style" w:hAnsi="Bookman Old Style" w:cs="Arial"/>
          <w:sz w:val="24"/>
          <w:szCs w:val="24"/>
        </w:rPr>
        <w:t xml:space="preserve">dan </w:t>
      </w:r>
      <w:r>
        <w:rPr>
          <w:rFonts w:ascii="Bookman Old Style" w:hAnsi="Bookman Old Style" w:cs="Arial"/>
          <w:sz w:val="24"/>
          <w:szCs w:val="24"/>
          <w:lang w:val="en-GB"/>
        </w:rPr>
        <w:t xml:space="preserve">catatan penting perbedaan seperti terlihat pada </w:t>
      </w:r>
      <w:r>
        <w:rPr>
          <w:rFonts w:ascii="Bookman Old Style" w:hAnsi="Bookman Old Style" w:cs="Arial"/>
          <w:b/>
          <w:sz w:val="24"/>
          <w:szCs w:val="24"/>
          <w:lang w:val="en-GB"/>
        </w:rPr>
        <w:t>tabel 2.3</w:t>
      </w:r>
      <w:r>
        <w:rPr>
          <w:rFonts w:ascii="Bookman Old Style" w:hAnsi="Bookman Old Style" w:cs="Arial"/>
          <w:sz w:val="24"/>
          <w:szCs w:val="24"/>
          <w:lang w:val="en-GB"/>
        </w:rPr>
        <w:t xml:space="preserve"> dibawah ini:</w:t>
      </w:r>
    </w:p>
    <w:p>
      <w:pPr>
        <w:pStyle w:val="15"/>
        <w:spacing w:line="360" w:lineRule="auto"/>
        <w:jc w:val="both"/>
        <w:rPr>
          <w:rFonts w:ascii="Bookman Old Style" w:hAnsi="Bookman Old Style" w:cs="Arial"/>
          <w:sz w:val="24"/>
          <w:szCs w:val="24"/>
          <w:lang w:val="en-GB"/>
        </w:rPr>
      </w:pPr>
    </w:p>
    <w:p>
      <w:pPr>
        <w:pStyle w:val="15"/>
        <w:spacing w:line="360" w:lineRule="auto"/>
        <w:jc w:val="both"/>
        <w:rPr>
          <w:rFonts w:ascii="Bookman Old Style" w:hAnsi="Bookman Old Style" w:cs="Arial"/>
          <w:sz w:val="24"/>
          <w:szCs w:val="24"/>
          <w:lang w:val="en-GB"/>
        </w:rPr>
      </w:pPr>
    </w:p>
    <w:p>
      <w:pPr>
        <w:pStyle w:val="15"/>
        <w:spacing w:line="360" w:lineRule="auto"/>
        <w:jc w:val="both"/>
        <w:rPr>
          <w:rFonts w:ascii="Bookman Old Style" w:hAnsi="Bookman Old Style" w:cs="Arial"/>
          <w:sz w:val="24"/>
          <w:szCs w:val="24"/>
          <w:lang w:val="en-GB"/>
        </w:rPr>
      </w:pPr>
    </w:p>
    <w:p>
      <w:pPr>
        <w:pStyle w:val="15"/>
        <w:spacing w:line="360" w:lineRule="auto"/>
        <w:jc w:val="both"/>
        <w:rPr>
          <w:rFonts w:ascii="Bookman Old Style" w:hAnsi="Bookman Old Style" w:cs="Arial"/>
          <w:sz w:val="24"/>
          <w:szCs w:val="24"/>
          <w:lang w:val="en-GB"/>
        </w:rPr>
      </w:pPr>
    </w:p>
    <w:p>
      <w:pPr>
        <w:pStyle w:val="15"/>
        <w:spacing w:line="360" w:lineRule="auto"/>
        <w:jc w:val="both"/>
        <w:rPr>
          <w:rFonts w:ascii="Bookman Old Style" w:hAnsi="Bookman Old Style" w:cs="Arial"/>
          <w:sz w:val="24"/>
          <w:szCs w:val="24"/>
          <w:lang w:val="en-GB"/>
        </w:rPr>
      </w:pPr>
    </w:p>
    <w:p>
      <w:pPr>
        <w:pStyle w:val="15"/>
        <w:spacing w:line="360" w:lineRule="auto"/>
        <w:jc w:val="both"/>
        <w:rPr>
          <w:rFonts w:ascii="Bookman Old Style" w:hAnsi="Bookman Old Style" w:cs="Arial"/>
          <w:sz w:val="24"/>
          <w:szCs w:val="24"/>
          <w:lang w:val="en-GB"/>
        </w:rPr>
      </w:pPr>
    </w:p>
    <w:p>
      <w:pPr>
        <w:pStyle w:val="15"/>
        <w:spacing w:line="360" w:lineRule="auto"/>
        <w:jc w:val="both"/>
        <w:rPr>
          <w:rFonts w:ascii="Bookman Old Style" w:hAnsi="Bookman Old Style" w:cs="Arial"/>
          <w:sz w:val="24"/>
          <w:szCs w:val="24"/>
          <w:lang w:val="en-GB"/>
        </w:rPr>
      </w:pPr>
    </w:p>
    <w:p>
      <w:pPr>
        <w:rPr>
          <w:rFonts w:ascii="Bookman Old Style" w:hAnsi="Bookman Old Style" w:cs="Arial"/>
          <w:sz w:val="24"/>
          <w:szCs w:val="24"/>
          <w:lang w:val="en-GB"/>
        </w:rPr>
      </w:pPr>
      <w:r>
        <w:rPr>
          <w:rFonts w:ascii="Bookman Old Style" w:hAnsi="Bookman Old Style" w:cs="Arial"/>
          <w:sz w:val="24"/>
          <w:szCs w:val="24"/>
          <w:lang w:val="en-GB"/>
        </w:rPr>
        <w:br w:type="page"/>
      </w:r>
      <w:bookmarkStart w:id="1" w:name="RANGE!A1:L89"/>
    </w:p>
    <w:p>
      <w:pPr>
        <w:rPr>
          <w:rFonts w:ascii="Bookman Old Style" w:hAnsi="Bookman Old Style" w:cs="Arial" w:eastAsiaTheme="minorHAnsi"/>
          <w:sz w:val="24"/>
          <w:szCs w:val="24"/>
          <w:lang w:val="en-GB"/>
        </w:rPr>
        <w:sectPr>
          <w:pgSz w:w="12191" w:h="18711"/>
          <w:pgMar w:top="1411" w:right="1411" w:bottom="1411" w:left="1411" w:header="706" w:footer="706" w:gutter="0"/>
          <w:cols w:space="708" w:num="1"/>
          <w:titlePg/>
          <w:docGrid w:linePitch="360" w:charSpace="0"/>
        </w:sectPr>
      </w:pPr>
    </w:p>
    <w:tbl>
      <w:tblPr>
        <w:tblStyle w:val="12"/>
        <w:tblpPr w:leftFromText="180" w:rightFromText="180" w:horzAnchor="margin" w:tblpX="666" w:tblpY="-1547"/>
        <w:tblW w:w="17349" w:type="dxa"/>
        <w:tblInd w:w="0" w:type="dxa"/>
        <w:tblLayout w:type="fixed"/>
        <w:tblCellMar>
          <w:top w:w="0" w:type="dxa"/>
          <w:left w:w="108" w:type="dxa"/>
          <w:bottom w:w="0" w:type="dxa"/>
          <w:right w:w="108" w:type="dxa"/>
        </w:tblCellMar>
      </w:tblPr>
      <w:tblGrid>
        <w:gridCol w:w="558"/>
        <w:gridCol w:w="2070"/>
        <w:gridCol w:w="1350"/>
        <w:gridCol w:w="1530"/>
        <w:gridCol w:w="1120"/>
        <w:gridCol w:w="1940"/>
        <w:gridCol w:w="1800"/>
        <w:gridCol w:w="1311"/>
        <w:gridCol w:w="1659"/>
        <w:gridCol w:w="1150"/>
        <w:gridCol w:w="1910"/>
        <w:gridCol w:w="951"/>
      </w:tblGrid>
      <w:tr>
        <w:tblPrEx>
          <w:tblCellMar>
            <w:top w:w="0" w:type="dxa"/>
            <w:left w:w="108" w:type="dxa"/>
            <w:bottom w:w="0" w:type="dxa"/>
            <w:right w:w="108" w:type="dxa"/>
          </w:tblCellMar>
        </w:tblPrEx>
        <w:trPr>
          <w:trHeight w:val="500" w:hRule="atLeast"/>
        </w:trPr>
        <w:tc>
          <w:tcPr>
            <w:tcW w:w="17349" w:type="dxa"/>
            <w:gridSpan w:val="12"/>
            <w:tcBorders>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p>
        </w:tc>
      </w:tr>
      <w:tr>
        <w:tblPrEx>
          <w:tblCellMar>
            <w:top w:w="0" w:type="dxa"/>
            <w:left w:w="108" w:type="dxa"/>
            <w:bottom w:w="0" w:type="dxa"/>
            <w:right w:w="108" w:type="dxa"/>
          </w:tblCellMar>
        </w:tblPrEx>
        <w:trPr>
          <w:trHeight w:val="500" w:hRule="atLeast"/>
        </w:trPr>
        <w:tc>
          <w:tcPr>
            <w:tcW w:w="17349" w:type="dxa"/>
            <w:gridSpan w:val="12"/>
            <w:tcBorders>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p>
        </w:tc>
      </w:tr>
      <w:tr>
        <w:tblPrEx>
          <w:tblCellMar>
            <w:top w:w="0" w:type="dxa"/>
            <w:left w:w="108" w:type="dxa"/>
            <w:bottom w:w="0" w:type="dxa"/>
            <w:right w:w="108" w:type="dxa"/>
          </w:tblCellMar>
        </w:tblPrEx>
        <w:trPr>
          <w:trHeight w:val="500" w:hRule="atLeast"/>
        </w:trPr>
        <w:tc>
          <w:tcPr>
            <w:tcW w:w="17349" w:type="dxa"/>
            <w:gridSpan w:val="12"/>
            <w:tcBorders>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Tabel 2.3</w:t>
            </w:r>
            <w:bookmarkEnd w:id="1"/>
          </w:p>
        </w:tc>
      </w:tr>
      <w:tr>
        <w:tblPrEx>
          <w:tblCellMar>
            <w:top w:w="0" w:type="dxa"/>
            <w:left w:w="108" w:type="dxa"/>
            <w:bottom w:w="0" w:type="dxa"/>
            <w:right w:w="108" w:type="dxa"/>
          </w:tblCellMar>
        </w:tblPrEx>
        <w:trPr>
          <w:trHeight w:val="500" w:hRule="atLeast"/>
        </w:trPr>
        <w:tc>
          <w:tcPr>
            <w:tcW w:w="17349" w:type="dxa"/>
            <w:gridSpan w:val="12"/>
            <w:tcBorders>
              <w:top w:val="nil"/>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Reviu  Rancangan Awal Tahun 2020</w:t>
            </w:r>
          </w:p>
        </w:tc>
      </w:tr>
      <w:tr>
        <w:tblPrEx>
          <w:tblCellMar>
            <w:top w:w="0" w:type="dxa"/>
            <w:left w:w="108" w:type="dxa"/>
            <w:bottom w:w="0" w:type="dxa"/>
            <w:right w:w="108" w:type="dxa"/>
          </w:tblCellMar>
        </w:tblPrEx>
        <w:trPr>
          <w:trHeight w:val="500" w:hRule="atLeast"/>
        </w:trPr>
        <w:tc>
          <w:tcPr>
            <w:tcW w:w="17349" w:type="dxa"/>
            <w:gridSpan w:val="12"/>
            <w:tcBorders>
              <w:top w:val="nil"/>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Dearah Kabupaten Malang</w:t>
            </w:r>
          </w:p>
        </w:tc>
      </w:tr>
      <w:tr>
        <w:tblPrEx>
          <w:tblCellMar>
            <w:top w:w="0" w:type="dxa"/>
            <w:left w:w="108" w:type="dxa"/>
            <w:bottom w:w="0" w:type="dxa"/>
            <w:right w:w="108" w:type="dxa"/>
          </w:tblCellMar>
        </w:tblPrEx>
        <w:trPr>
          <w:trHeight w:val="500" w:hRule="atLeast"/>
        </w:trPr>
        <w:tc>
          <w:tcPr>
            <w:tcW w:w="558" w:type="dxa"/>
            <w:tcBorders>
              <w:top w:val="nil"/>
              <w:left w:val="nil"/>
              <w:bottom w:val="nil"/>
              <w:right w:val="nil"/>
            </w:tcBorders>
            <w:shd w:val="clear" w:color="auto" w:fill="auto"/>
            <w:noWrap/>
            <w:vAlign w:val="bottom"/>
          </w:tcPr>
          <w:p>
            <w:pPr>
              <w:spacing w:after="0" w:line="240" w:lineRule="auto"/>
              <w:jc w:val="center"/>
              <w:rPr>
                <w:rFonts w:ascii="Bookman Old Style" w:hAnsi="Bookman Old Style" w:eastAsia="Times New Roman" w:cs="Calibri"/>
                <w:b/>
                <w:bCs/>
                <w:color w:val="000000"/>
                <w:sz w:val="18"/>
                <w:szCs w:val="18"/>
              </w:rPr>
            </w:pPr>
          </w:p>
        </w:tc>
        <w:tc>
          <w:tcPr>
            <w:tcW w:w="207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35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53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1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940" w:type="dxa"/>
            <w:tcBorders>
              <w:top w:val="nil"/>
              <w:left w:val="nil"/>
              <w:bottom w:val="nil"/>
              <w:right w:val="nil"/>
            </w:tcBorders>
            <w:shd w:val="clear" w:color="auto" w:fill="auto"/>
            <w:noWrap/>
            <w:vAlign w:val="bottom"/>
          </w:tcPr>
          <w:p>
            <w:pPr>
              <w:spacing w:after="0" w:line="240" w:lineRule="auto"/>
              <w:jc w:val="center"/>
              <w:rPr>
                <w:rFonts w:ascii="Times New Roman" w:hAnsi="Times New Roman" w:eastAsia="Times New Roman"/>
                <w:sz w:val="18"/>
                <w:szCs w:val="18"/>
              </w:rPr>
            </w:pPr>
          </w:p>
        </w:tc>
        <w:tc>
          <w:tcPr>
            <w:tcW w:w="18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311"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659"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15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910" w:type="dxa"/>
            <w:tcBorders>
              <w:top w:val="nil"/>
              <w:left w:val="nil"/>
              <w:bottom w:val="nil"/>
              <w:right w:val="nil"/>
            </w:tcBorders>
            <w:shd w:val="clear" w:color="auto" w:fill="auto"/>
            <w:noWrap/>
            <w:vAlign w:val="bottom"/>
          </w:tcPr>
          <w:p>
            <w:pPr>
              <w:spacing w:after="0" w:line="240" w:lineRule="auto"/>
              <w:jc w:val="center"/>
              <w:rPr>
                <w:rFonts w:ascii="Times New Roman" w:hAnsi="Times New Roman" w:eastAsia="Times New Roman"/>
                <w:sz w:val="18"/>
                <w:szCs w:val="18"/>
              </w:rPr>
            </w:pPr>
          </w:p>
        </w:tc>
        <w:tc>
          <w:tcPr>
            <w:tcW w:w="951"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r>
      <w:tr>
        <w:tblPrEx>
          <w:tblCellMar>
            <w:top w:w="0" w:type="dxa"/>
            <w:left w:w="108" w:type="dxa"/>
            <w:bottom w:w="0" w:type="dxa"/>
            <w:right w:w="108" w:type="dxa"/>
          </w:tblCellMar>
        </w:tblPrEx>
        <w:trPr>
          <w:trHeight w:val="403" w:hRule="atLeast"/>
        </w:trPr>
        <w:tc>
          <w:tcPr>
            <w:tcW w:w="558" w:type="dxa"/>
            <w:vMerge w:val="restart"/>
            <w:tcBorders>
              <w:top w:val="single" w:color="auto" w:sz="8" w:space="0"/>
              <w:left w:val="single" w:color="auto" w:sz="8"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NO</w:t>
            </w:r>
          </w:p>
        </w:tc>
        <w:tc>
          <w:tcPr>
            <w:tcW w:w="8010" w:type="dxa"/>
            <w:gridSpan w:val="5"/>
            <w:tcBorders>
              <w:top w:val="single" w:color="auto" w:sz="8" w:space="0"/>
              <w:left w:val="nil"/>
              <w:bottom w:val="single" w:color="auto" w:sz="4" w:space="0"/>
              <w:right w:val="single" w:color="000000" w:sz="12"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RKPD </w:t>
            </w:r>
          </w:p>
        </w:tc>
        <w:tc>
          <w:tcPr>
            <w:tcW w:w="7830" w:type="dxa"/>
            <w:gridSpan w:val="5"/>
            <w:tcBorders>
              <w:top w:val="single" w:color="auto" w:sz="8"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Hasil Analisis Kebutuhan </w:t>
            </w:r>
          </w:p>
        </w:tc>
        <w:tc>
          <w:tcPr>
            <w:tcW w:w="951" w:type="dxa"/>
            <w:vMerge w:val="restart"/>
            <w:tcBorders>
              <w:top w:val="single" w:color="auto" w:sz="8" w:space="0"/>
              <w:left w:val="nil"/>
              <w:bottom w:val="single" w:color="000000"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Catatan Penting</w:t>
            </w:r>
          </w:p>
        </w:tc>
      </w:tr>
      <w:tr>
        <w:tblPrEx>
          <w:tblCellMar>
            <w:top w:w="0" w:type="dxa"/>
            <w:left w:w="108" w:type="dxa"/>
            <w:bottom w:w="0" w:type="dxa"/>
            <w:right w:w="108" w:type="dxa"/>
          </w:tblCellMar>
        </w:tblPrEx>
        <w:trPr>
          <w:trHeight w:val="403" w:hRule="atLeast"/>
        </w:trPr>
        <w:tc>
          <w:tcPr>
            <w:tcW w:w="558" w:type="dxa"/>
            <w:vMerge w:val="continue"/>
            <w:tcBorders>
              <w:top w:val="single" w:color="auto" w:sz="8" w:space="0"/>
              <w:left w:val="single" w:color="auto" w:sz="8"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2070" w:type="dxa"/>
            <w:vMerge w:val="restart"/>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w:t>
            </w:r>
          </w:p>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KEGIATAN</w:t>
            </w:r>
          </w:p>
        </w:tc>
        <w:tc>
          <w:tcPr>
            <w:tcW w:w="1350" w:type="dxa"/>
            <w:vMerge w:val="restart"/>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LOKASI </w:t>
            </w:r>
          </w:p>
        </w:tc>
        <w:tc>
          <w:tcPr>
            <w:tcW w:w="1530" w:type="dxa"/>
            <w:tcBorders>
              <w:top w:val="nil"/>
              <w:left w:val="nil"/>
              <w:bottom w:val="nil"/>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INDIKATOR </w:t>
            </w:r>
          </w:p>
        </w:tc>
        <w:tc>
          <w:tcPr>
            <w:tcW w:w="1120" w:type="dxa"/>
            <w:vMerge w:val="restart"/>
            <w:tcBorders>
              <w:top w:val="nil"/>
              <w:left w:val="single" w:color="auto" w:sz="8" w:space="0"/>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TARGET CAPAIAN </w:t>
            </w:r>
          </w:p>
        </w:tc>
        <w:tc>
          <w:tcPr>
            <w:tcW w:w="1940" w:type="dxa"/>
            <w:vMerge w:val="restart"/>
            <w:tcBorders>
              <w:top w:val="nil"/>
              <w:left w:val="single" w:color="auto" w:sz="8" w:space="0"/>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Pagu Indikatif  </w:t>
            </w:r>
          </w:p>
        </w:tc>
        <w:tc>
          <w:tcPr>
            <w:tcW w:w="1800" w:type="dxa"/>
            <w:vMerge w:val="restart"/>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w:t>
            </w:r>
          </w:p>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KEGIATAN</w:t>
            </w:r>
          </w:p>
        </w:tc>
        <w:tc>
          <w:tcPr>
            <w:tcW w:w="1311" w:type="dxa"/>
            <w:vMerge w:val="restart"/>
            <w:tcBorders>
              <w:top w:val="nil"/>
              <w:left w:val="single" w:color="auto" w:sz="8" w:space="0"/>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LOKASI</w:t>
            </w:r>
          </w:p>
        </w:tc>
        <w:tc>
          <w:tcPr>
            <w:tcW w:w="1659" w:type="dxa"/>
            <w:tcBorders>
              <w:top w:val="nil"/>
              <w:left w:val="nil"/>
              <w:bottom w:val="nil"/>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INDIKATOR </w:t>
            </w:r>
          </w:p>
        </w:tc>
        <w:tc>
          <w:tcPr>
            <w:tcW w:w="1150" w:type="dxa"/>
            <w:vMerge w:val="restart"/>
            <w:tcBorders>
              <w:top w:val="nil"/>
              <w:left w:val="single" w:color="auto" w:sz="8" w:space="0"/>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TARGET CAPAIAN </w:t>
            </w:r>
          </w:p>
        </w:tc>
        <w:tc>
          <w:tcPr>
            <w:tcW w:w="1910" w:type="dxa"/>
            <w:vMerge w:val="restart"/>
            <w:tcBorders>
              <w:top w:val="nil"/>
              <w:left w:val="single" w:color="auto" w:sz="8" w:space="0"/>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Pagu Indikatif  </w:t>
            </w:r>
          </w:p>
        </w:tc>
        <w:tc>
          <w:tcPr>
            <w:tcW w:w="951" w:type="dxa"/>
            <w:vMerge w:val="continue"/>
            <w:tcBorders>
              <w:top w:val="single" w:color="auto" w:sz="8" w:space="0"/>
              <w:left w:val="nil"/>
              <w:bottom w:val="single" w:color="000000" w:sz="4" w:space="0"/>
              <w:right w:val="single" w:color="auto" w:sz="8" w:space="0"/>
            </w:tcBorders>
            <w:vAlign w:val="center"/>
          </w:tcPr>
          <w:p>
            <w:pPr>
              <w:spacing w:after="0" w:line="240" w:lineRule="auto"/>
              <w:rPr>
                <w:rFonts w:ascii="Bookman Old Style" w:hAnsi="Bookman Old Style" w:eastAsia="Times New Roman" w:cs="Calibri"/>
                <w:b/>
                <w:bCs/>
                <w:color w:val="000000"/>
                <w:sz w:val="18"/>
                <w:szCs w:val="18"/>
              </w:rPr>
            </w:pPr>
          </w:p>
        </w:tc>
      </w:tr>
      <w:tr>
        <w:tblPrEx>
          <w:tblCellMar>
            <w:top w:w="0" w:type="dxa"/>
            <w:left w:w="108" w:type="dxa"/>
            <w:bottom w:w="0" w:type="dxa"/>
            <w:right w:w="108" w:type="dxa"/>
          </w:tblCellMar>
        </w:tblPrEx>
        <w:trPr>
          <w:trHeight w:val="403" w:hRule="atLeast"/>
        </w:trPr>
        <w:tc>
          <w:tcPr>
            <w:tcW w:w="558" w:type="dxa"/>
            <w:vMerge w:val="continue"/>
            <w:tcBorders>
              <w:top w:val="single" w:color="auto" w:sz="8" w:space="0"/>
              <w:left w:val="single" w:color="auto" w:sz="8"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2070" w:type="dxa"/>
            <w:vMerge w:val="continue"/>
            <w:tcBorders>
              <w:top w:val="nil"/>
              <w:left w:val="nil"/>
              <w:bottom w:val="single" w:color="auto" w:sz="4" w:space="0"/>
              <w:right w:val="single" w:color="auto" w:sz="8" w:space="0"/>
            </w:tcBorders>
            <w:vAlign w:val="center"/>
          </w:tcPr>
          <w:p>
            <w:pPr>
              <w:spacing w:after="0" w:line="240" w:lineRule="auto"/>
              <w:rPr>
                <w:rFonts w:ascii="Bookman Old Style" w:hAnsi="Bookman Old Style" w:eastAsia="Times New Roman" w:cs="Calibri"/>
                <w:b/>
                <w:bCs/>
                <w:color w:val="000000"/>
                <w:sz w:val="18"/>
                <w:szCs w:val="18"/>
              </w:rPr>
            </w:pPr>
          </w:p>
        </w:tc>
        <w:tc>
          <w:tcPr>
            <w:tcW w:w="1350" w:type="dxa"/>
            <w:vMerge w:val="continue"/>
            <w:tcBorders>
              <w:top w:val="nil"/>
              <w:left w:val="single" w:color="auto" w:sz="8" w:space="0"/>
              <w:bottom w:val="single" w:color="auto" w:sz="4" w:space="0"/>
              <w:right w:val="single" w:color="auto" w:sz="8" w:space="0"/>
            </w:tcBorders>
            <w:vAlign w:val="center"/>
          </w:tcPr>
          <w:p>
            <w:pPr>
              <w:spacing w:after="0" w:line="240" w:lineRule="auto"/>
              <w:rPr>
                <w:rFonts w:ascii="Bookman Old Style" w:hAnsi="Bookman Old Style" w:eastAsia="Times New Roman" w:cs="Calibri"/>
                <w:b/>
                <w:bCs/>
                <w:color w:val="000000"/>
                <w:sz w:val="18"/>
                <w:szCs w:val="18"/>
              </w:rPr>
            </w:pPr>
          </w:p>
        </w:tc>
        <w:tc>
          <w:tcPr>
            <w:tcW w:w="153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KINERJA </w:t>
            </w:r>
          </w:p>
        </w:tc>
        <w:tc>
          <w:tcPr>
            <w:tcW w:w="1120" w:type="dxa"/>
            <w:vMerge w:val="continue"/>
            <w:tcBorders>
              <w:top w:val="nil"/>
              <w:left w:val="single" w:color="auto" w:sz="8" w:space="0"/>
              <w:bottom w:val="single" w:color="auto" w:sz="4" w:space="0"/>
              <w:right w:val="single" w:color="auto" w:sz="8" w:space="0"/>
            </w:tcBorders>
            <w:vAlign w:val="center"/>
          </w:tcPr>
          <w:p>
            <w:pPr>
              <w:spacing w:after="0" w:line="240" w:lineRule="auto"/>
              <w:rPr>
                <w:rFonts w:ascii="Bookman Old Style" w:hAnsi="Bookman Old Style" w:eastAsia="Times New Roman" w:cs="Calibri"/>
                <w:b/>
                <w:bCs/>
                <w:color w:val="000000"/>
                <w:sz w:val="18"/>
                <w:szCs w:val="18"/>
              </w:rPr>
            </w:pPr>
          </w:p>
        </w:tc>
        <w:tc>
          <w:tcPr>
            <w:tcW w:w="1940" w:type="dxa"/>
            <w:vMerge w:val="continue"/>
            <w:tcBorders>
              <w:top w:val="nil"/>
              <w:left w:val="single" w:color="auto" w:sz="8" w:space="0"/>
              <w:bottom w:val="single" w:color="auto" w:sz="4" w:space="0"/>
              <w:right w:val="single" w:color="auto" w:sz="12" w:space="0"/>
            </w:tcBorders>
            <w:vAlign w:val="center"/>
          </w:tcPr>
          <w:p>
            <w:pPr>
              <w:spacing w:after="0" w:line="240" w:lineRule="auto"/>
              <w:rPr>
                <w:rFonts w:ascii="Bookman Old Style" w:hAnsi="Bookman Old Style" w:eastAsia="Times New Roman" w:cs="Calibri"/>
                <w:b/>
                <w:bCs/>
                <w:color w:val="000000"/>
                <w:sz w:val="18"/>
                <w:szCs w:val="18"/>
              </w:rPr>
            </w:pPr>
          </w:p>
        </w:tc>
        <w:tc>
          <w:tcPr>
            <w:tcW w:w="1800" w:type="dxa"/>
            <w:vMerge w:val="continue"/>
            <w:tcBorders>
              <w:top w:val="nil"/>
              <w:left w:val="nil"/>
              <w:bottom w:val="single" w:color="auto" w:sz="4" w:space="0"/>
              <w:right w:val="single" w:color="auto" w:sz="8" w:space="0"/>
            </w:tcBorders>
            <w:vAlign w:val="center"/>
          </w:tcPr>
          <w:p>
            <w:pPr>
              <w:spacing w:after="0" w:line="240" w:lineRule="auto"/>
              <w:rPr>
                <w:rFonts w:ascii="Bookman Old Style" w:hAnsi="Bookman Old Style" w:eastAsia="Times New Roman" w:cs="Calibri"/>
                <w:b/>
                <w:bCs/>
                <w:color w:val="000000"/>
                <w:sz w:val="18"/>
                <w:szCs w:val="18"/>
              </w:rPr>
            </w:pPr>
          </w:p>
        </w:tc>
        <w:tc>
          <w:tcPr>
            <w:tcW w:w="1311" w:type="dxa"/>
            <w:vMerge w:val="continue"/>
            <w:tcBorders>
              <w:top w:val="nil"/>
              <w:left w:val="single" w:color="auto" w:sz="8" w:space="0"/>
              <w:bottom w:val="single" w:color="auto" w:sz="4" w:space="0"/>
              <w:right w:val="single" w:color="auto" w:sz="8" w:space="0"/>
            </w:tcBorders>
            <w:vAlign w:val="center"/>
          </w:tcPr>
          <w:p>
            <w:pPr>
              <w:spacing w:after="0" w:line="240" w:lineRule="auto"/>
              <w:rPr>
                <w:rFonts w:ascii="Bookman Old Style" w:hAnsi="Bookman Old Style" w:eastAsia="Times New Roman" w:cs="Calibri"/>
                <w:b/>
                <w:bCs/>
                <w:color w:val="000000"/>
                <w:sz w:val="18"/>
                <w:szCs w:val="18"/>
              </w:rPr>
            </w:pPr>
          </w:p>
        </w:tc>
        <w:tc>
          <w:tcPr>
            <w:tcW w:w="1659"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KINERJA </w:t>
            </w:r>
          </w:p>
        </w:tc>
        <w:tc>
          <w:tcPr>
            <w:tcW w:w="1150" w:type="dxa"/>
            <w:vMerge w:val="continue"/>
            <w:tcBorders>
              <w:top w:val="nil"/>
              <w:left w:val="single" w:color="auto" w:sz="8" w:space="0"/>
              <w:bottom w:val="single" w:color="auto" w:sz="4" w:space="0"/>
              <w:right w:val="single" w:color="auto" w:sz="8" w:space="0"/>
            </w:tcBorders>
            <w:vAlign w:val="center"/>
          </w:tcPr>
          <w:p>
            <w:pPr>
              <w:spacing w:after="0" w:line="240" w:lineRule="auto"/>
              <w:rPr>
                <w:rFonts w:ascii="Bookman Old Style" w:hAnsi="Bookman Old Style" w:eastAsia="Times New Roman" w:cs="Calibri"/>
                <w:b/>
                <w:bCs/>
                <w:color w:val="000000"/>
                <w:sz w:val="18"/>
                <w:szCs w:val="18"/>
              </w:rPr>
            </w:pPr>
          </w:p>
        </w:tc>
        <w:tc>
          <w:tcPr>
            <w:tcW w:w="1910" w:type="dxa"/>
            <w:vMerge w:val="continue"/>
            <w:tcBorders>
              <w:top w:val="nil"/>
              <w:left w:val="single" w:color="auto" w:sz="8" w:space="0"/>
              <w:bottom w:val="single" w:color="auto" w:sz="4" w:space="0"/>
              <w:right w:val="single" w:color="auto" w:sz="12" w:space="0"/>
            </w:tcBorders>
            <w:vAlign w:val="center"/>
          </w:tcPr>
          <w:p>
            <w:pPr>
              <w:spacing w:after="0" w:line="240" w:lineRule="auto"/>
              <w:rPr>
                <w:rFonts w:ascii="Bookman Old Style" w:hAnsi="Bookman Old Style" w:eastAsia="Times New Roman" w:cs="Calibri"/>
                <w:b/>
                <w:bCs/>
                <w:color w:val="000000"/>
                <w:sz w:val="18"/>
                <w:szCs w:val="18"/>
              </w:rPr>
            </w:pPr>
          </w:p>
        </w:tc>
        <w:tc>
          <w:tcPr>
            <w:tcW w:w="951" w:type="dxa"/>
            <w:vMerge w:val="continue"/>
            <w:tcBorders>
              <w:top w:val="single" w:color="auto" w:sz="8" w:space="0"/>
              <w:left w:val="nil"/>
              <w:bottom w:val="single" w:color="000000" w:sz="4" w:space="0"/>
              <w:right w:val="single" w:color="auto" w:sz="8" w:space="0"/>
            </w:tcBorders>
            <w:vAlign w:val="center"/>
          </w:tcPr>
          <w:p>
            <w:pPr>
              <w:spacing w:after="0" w:line="240" w:lineRule="auto"/>
              <w:rPr>
                <w:rFonts w:ascii="Bookman Old Style" w:hAnsi="Bookman Old Style" w:eastAsia="Times New Roman" w:cs="Calibri"/>
                <w:b/>
                <w:bCs/>
                <w:color w:val="000000"/>
                <w:sz w:val="18"/>
                <w:szCs w:val="18"/>
              </w:rPr>
            </w:pPr>
          </w:p>
        </w:tc>
      </w:tr>
      <w:tr>
        <w:tblPrEx>
          <w:tblCellMar>
            <w:top w:w="0" w:type="dxa"/>
            <w:left w:w="108" w:type="dxa"/>
            <w:bottom w:w="0" w:type="dxa"/>
            <w:right w:w="108" w:type="dxa"/>
          </w:tblCellMar>
        </w:tblPrEx>
        <w:trPr>
          <w:trHeight w:val="403" w:hRule="atLeast"/>
        </w:trPr>
        <w:tc>
          <w:tcPr>
            <w:tcW w:w="558"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w:t>
            </w:r>
          </w:p>
        </w:tc>
        <w:tc>
          <w:tcPr>
            <w:tcW w:w="207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13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w:t>
            </w:r>
          </w:p>
        </w:tc>
        <w:tc>
          <w:tcPr>
            <w:tcW w:w="153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w:t>
            </w:r>
          </w:p>
        </w:tc>
        <w:tc>
          <w:tcPr>
            <w:tcW w:w="180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7</w:t>
            </w:r>
          </w:p>
        </w:tc>
        <w:tc>
          <w:tcPr>
            <w:tcW w:w="1311"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8</w:t>
            </w:r>
          </w:p>
        </w:tc>
        <w:tc>
          <w:tcPr>
            <w:tcW w:w="1659"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9</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11</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12</w:t>
            </w:r>
          </w:p>
        </w:tc>
      </w:tr>
      <w:tr>
        <w:tblPrEx>
          <w:tblCellMar>
            <w:top w:w="0" w:type="dxa"/>
            <w:left w:w="108" w:type="dxa"/>
            <w:bottom w:w="0" w:type="dxa"/>
            <w:right w:w="108" w:type="dxa"/>
          </w:tblCellMar>
        </w:tblPrEx>
        <w:trPr>
          <w:trHeight w:val="975" w:hRule="atLeast"/>
        </w:trPr>
        <w:tc>
          <w:tcPr>
            <w:tcW w:w="558" w:type="dxa"/>
            <w:tcBorders>
              <w:top w:val="nil"/>
              <w:left w:val="single" w:color="auto" w:sz="8" w:space="0"/>
              <w:bottom w:val="single" w:color="auto" w:sz="4" w:space="0"/>
              <w:right w:val="single" w:color="auto"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Administrasi Perkantoran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Presentase pemenuhan operasional perkantoran (%)</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8,940,677,211.00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Administrasi Perkantoran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8,940,677,211.00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90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Penyediaan Jasa Surat Menyurat</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registrasi surat masuk dan surat keluar (buah)</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12.000 buah</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119,940,000.00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Penyediaan Jasa Surat Menyurat</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registrasi surat masuk dan surat keluar (buah)</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12.000 buah</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119,940,000.00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44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Penyediaan Jasa Komunikasi, Sumber Daya Air dan Listrik</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Listrik, Air Minum/Air Bersih, Telekomunikasi dan Internet (Bulan)</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173,160,000.00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Penyediaan Jasa Komunikasi, Sumber Daya Air dan Listrik</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Listrik, Air Minum/Air Bersih, Telekomunikasi dan Internet (Bulan)</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173,160,000.00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8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Penyediaan Jasa Administrasi Keuangan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pejabat pengelola administrasi keuangan (OB)</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4126 OB</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6,709,356,781.00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Penyediaan Jasa Administrasi Keuangan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pejabat pengelola administrasi keuangan (OB)</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4126 OB</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6,709,356,781.00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005" w:hRule="atLeast"/>
        </w:trPr>
        <w:tc>
          <w:tcPr>
            <w:tcW w:w="558" w:type="dxa"/>
            <w:tcBorders>
              <w:top w:val="nil"/>
              <w:left w:val="single" w:color="auto" w:sz="8"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070" w:type="dxa"/>
            <w:tcBorders>
              <w:top w:val="nil"/>
              <w:left w:val="nil"/>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Penyediaan Alat Tulis Kantor</w:t>
            </w:r>
          </w:p>
        </w:tc>
        <w:tc>
          <w:tcPr>
            <w:tcW w:w="1350" w:type="dxa"/>
            <w:tcBorders>
              <w:top w:val="nil"/>
              <w:left w:val="nil"/>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alat tulis kantor yang disediakan (Jenis)</w:t>
            </w:r>
          </w:p>
        </w:tc>
        <w:tc>
          <w:tcPr>
            <w:tcW w:w="1120" w:type="dxa"/>
            <w:tcBorders>
              <w:top w:val="nil"/>
              <w:left w:val="nil"/>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 jenis</w:t>
            </w:r>
          </w:p>
        </w:tc>
        <w:tc>
          <w:tcPr>
            <w:tcW w:w="1940" w:type="dxa"/>
            <w:tcBorders>
              <w:top w:val="nil"/>
              <w:left w:val="nil"/>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400,077,000.00 </w:t>
            </w:r>
          </w:p>
        </w:tc>
        <w:tc>
          <w:tcPr>
            <w:tcW w:w="1800" w:type="dxa"/>
            <w:tcBorders>
              <w:top w:val="nil"/>
              <w:left w:val="nil"/>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 Penyediaan Alat Tulis Kantor</w:t>
            </w:r>
          </w:p>
        </w:tc>
        <w:tc>
          <w:tcPr>
            <w:tcW w:w="1311" w:type="dxa"/>
            <w:tcBorders>
              <w:top w:val="nil"/>
              <w:left w:val="nil"/>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alat tulis kantor yang disediakan (Jenis)</w:t>
            </w:r>
          </w:p>
        </w:tc>
        <w:tc>
          <w:tcPr>
            <w:tcW w:w="1150" w:type="dxa"/>
            <w:tcBorders>
              <w:top w:val="nil"/>
              <w:left w:val="nil"/>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 jenis</w:t>
            </w:r>
          </w:p>
        </w:tc>
        <w:tc>
          <w:tcPr>
            <w:tcW w:w="1910" w:type="dxa"/>
            <w:tcBorders>
              <w:top w:val="nil"/>
              <w:left w:val="nil"/>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400,077,000.00 </w:t>
            </w:r>
          </w:p>
        </w:tc>
        <w:tc>
          <w:tcPr>
            <w:tcW w:w="951" w:type="dxa"/>
            <w:tcBorders>
              <w:top w:val="nil"/>
              <w:left w:val="single" w:color="auto" w:sz="8"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 Penyediaan Barang Cetakan dan Penggandaan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barang cetakan yang disediakan (Jenis)</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 jenis</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325,992,800.00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 Penyediaan Barang Cetakan dan Penggandaan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barang cetakan yang disediakan (Jenis)</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 jenis</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325,992,800.00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4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 Penyediaan Komponen Instalasi Listrik/Penerangan Bangunan Kantor</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komponen alat-alat listrik dan elektronik (Jenis)</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51 jenis</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90,246,800.00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Penyediaan Komponen Instalasi Listrik/Penerangan Bangunan Kantor</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komponen alat-alat listrik dan elektronik (Jenis)</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51 jenis</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90,246,800.00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33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Penyediaan Bahan Bacaan dan Peraturan Perundang-Undangan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Bacaan dan Peraturan Perundang-Undangan yang disediakan (jenis)</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126,720,000.00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 Penyediaan Bahan Bacaan dan Peraturan Perundang-Undangan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Bacaan dan Peraturan Perundang-Undangan yang disediakan (jenis)</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126,720,000.00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7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 Penyediaan Bahan Logistik Kantor</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logistik kantor yang disediakan (jenis)</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 jenis</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100,861,000.00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 Penyediaan Bahan Logistik Kantor</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logistik kantor yang disediakan (jenis)</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 jenis</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100,861,000.00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54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 Penyediaan Makanan dan Minuman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makanan dan minuman harian Pegawai, Rapat, dan tamu yang disediakan (HOK)</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9900 HOK</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210,097,500.00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Penyediaan Makanan dan Minuman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makanan dan minuman harian Pegawai, Rapat, dan tamu yang disediakan (HOK)</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9900 HOK</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210,097,500.00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4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Rapat-Rapat Kordinasi dan Konsultasi Ke Luar Daerah</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luar daerah (HOK)</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850 HOK</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434,005,330.00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Rapat-Rapat Kordinasi dan Konsultasi Ke Luar Daerah</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luar daerah (HOK)</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850 HOK</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434,005,330.00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4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Rapat-Rapat Koordinasi dan Konsultasi Ke dalam Daerah</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dalam daerah (HOK)</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867 HOK</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250,220,000.00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Rapat-Rapat Koordinasi dan Konsultasi Ke dalam Daerah</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dalam daerah (HOK)</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867 HOK</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250,220,000.00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065" w:hRule="atLeast"/>
        </w:trPr>
        <w:tc>
          <w:tcPr>
            <w:tcW w:w="558" w:type="dxa"/>
            <w:tcBorders>
              <w:top w:val="single" w:color="auto" w:sz="4" w:space="0"/>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II</w:t>
            </w:r>
          </w:p>
        </w:tc>
        <w:tc>
          <w:tcPr>
            <w:tcW w:w="207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Sarana dan Prasarana Aparatur</w:t>
            </w:r>
          </w:p>
        </w:tc>
        <w:tc>
          <w:tcPr>
            <w:tcW w:w="135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53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Presentase pemenuhan sarana dan prasarana penunjang aparatur (%)</w:t>
            </w:r>
          </w:p>
        </w:tc>
        <w:tc>
          <w:tcPr>
            <w:tcW w:w="112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4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1,525,900,000.00 </w:t>
            </w:r>
          </w:p>
        </w:tc>
        <w:tc>
          <w:tcPr>
            <w:tcW w:w="180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Sarana dan Prasarana Aparatur</w:t>
            </w:r>
          </w:p>
        </w:tc>
        <w:tc>
          <w:tcPr>
            <w:tcW w:w="1311"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659"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Presentase pemenuhan sarana dan prasarana penunjang aparatur (%)</w:t>
            </w:r>
          </w:p>
        </w:tc>
        <w:tc>
          <w:tcPr>
            <w:tcW w:w="115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1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1,525,900,000.00 </w:t>
            </w:r>
          </w:p>
        </w:tc>
        <w:tc>
          <w:tcPr>
            <w:tcW w:w="951" w:type="dxa"/>
            <w:tcBorders>
              <w:top w:val="single" w:color="auto" w:sz="4" w:space="0"/>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96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Pengadaan Peralatan Gedung Kantor</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 yang diadakan ( jenis)</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253,458,500.00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 Pengadaan Peralatan Gedung Kantor</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 yang diadakan ( jenis)</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253,458,500.00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 Pemeliharaan Rutin/Berkala Gedung Kantor</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gedung kantor yang dipelihara Rutin/Berkala ( jenis)</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 jenis</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446,720,694.00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Pemeliharaan Rutin/Berkala Gedung Kantor</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gedung kantor yang dipelihara Rutin/Berkala ( jenis)</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 jenis</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446,720,694.00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41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Pemeliharaan Rutin/Berkala Kendaraan Dinas/Operasional</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roda empat dan kendaraan roda dua yang dipelihara rutin dan berkala (Unit)</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404,539,000.00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 Pemeliharaan Rutin/Berkala Kendaraan Dinas/Operasional</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roda empat dan kendaraan roda dua yang dipelihara rutin dan berkala (Unit)</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404,539,000.00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 Pemeliharaan Rutin/Berkala Peralatan Gedung Kantor</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Kantoryang dipelihara Rutin/Berkala (jenis)</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jenis</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55,673,000.00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 Pemeliharaan Rutin/Berkala Peralatan Gedung Kantor</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Kantoryang dipelihara Rutin/Berkala (jenis)</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jenis</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55,673,000.00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9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 Pemeliharaan Rutin/Berkala Mebeleur</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Mebeleur yang dipelihara Rutin/Berkala (jenis)</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jenis</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27,215,000.00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 Pemeliharaan Rutin/Berkala Mebeleur</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Mebeleur yang dipelihara Rutin/Berkala (jenis)</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jenis</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27,215,000.00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6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 Pengadaan Kendaraan Dinas/Operasional</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Dinas/Operasional Roda 2 baru yang diadakan (unit)</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unit</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78,279,306.00</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Pengadaan Kendaraan Dinas/Operasional</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Dinas/Operasional Roda 2 baru yang diadakan (unit)</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unit</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78,279,306.00</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30" w:hRule="atLeast"/>
        </w:trPr>
        <w:tc>
          <w:tcPr>
            <w:tcW w:w="558" w:type="dxa"/>
            <w:tcBorders>
              <w:top w:val="single" w:color="auto" w:sz="4" w:space="0"/>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07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35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Dinas/Operasional Roda 4 baru yang diadakan (unit)</w:t>
            </w:r>
          </w:p>
        </w:tc>
        <w:tc>
          <w:tcPr>
            <w:tcW w:w="112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unit</w:t>
            </w:r>
          </w:p>
        </w:tc>
        <w:tc>
          <w:tcPr>
            <w:tcW w:w="194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80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311"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Dinas/Operasional Roda 4 baru yang diadakan (unit)</w:t>
            </w:r>
          </w:p>
        </w:tc>
        <w:tc>
          <w:tcPr>
            <w:tcW w:w="115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unit</w:t>
            </w:r>
          </w:p>
        </w:tc>
        <w:tc>
          <w:tcPr>
            <w:tcW w:w="191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951" w:type="dxa"/>
            <w:tcBorders>
              <w:top w:val="single" w:color="auto" w:sz="4" w:space="0"/>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6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18. Pengadaan Perlengkapan Gedung Kantor </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perlengkapan gedung kantor yang diadakan (jenis)</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 jenis</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260,014,500.00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19, Pengadaan Perlengkapan Gedung Kantor </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perlengkapan gedung kantor yang diadakan (jenis)</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 jenis</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260,014,500.00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0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III</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Disiplin Aparatur</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Presentase Penunjang Kerja Aparatur (%)</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173,250,000.00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Disiplin Aparatur</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Presentase Penunjang Kerja Aparatur (%)</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173,250,000.00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94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 Pengadaan Pakaian Khusus Hari-Hari Tertentu</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Olahraga (Stel)</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stell</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Pengadaan Pakaian Khusus Hari-Hari Tertentu</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Olahraga (Stel)</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stell</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Pengadaan Pakaian Dinas Beserta Perlengkapannya</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Dinas (stell)</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525 stell</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173,250,000.00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 Pengadaan Pakaian Dinas Beserta Perlengkapannya</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Dinas (stell)</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525 stell</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173,250,000.00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09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IV</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Peningkatan Kapasitas Sumber Daya Aparatur</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Presentase Peningkatan Kapasitas Pegawai di Perangkat Daerah (%)</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56,450,000.00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Peningkatan Kapasitas Sumber Daya Aparatur</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Presentase Peningkatan Kapasitas Pegawai di Perangkat Daerah (%)</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56,450,000.00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97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 Pendidikan dan Pelatihan Formal</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yang mengikuti pelatihan (orang)</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193 orang</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56,450,000.00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 Pendidikan dan Pelatihan Formal</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yang mengikuti pelatihan (orang)</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193 orang</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56,450,000.00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77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V</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Pengembangan Sistem Pelaporan Capaian Kinerja dan Keuangan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Presentase Dokumen Perencanaan,Laporan Keuangan dan Kinerja Perangkat Daerah yang tepat waktu</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32,350,000.00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Pengembangan Sistem Pelaporan Capaian Kinerja dan Keuangan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Presentase Dokumen Perencanaan,Laporan Keuangan dan Kinerja Perangkat Daerah yang tepat waktu</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32,350,000.00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945" w:hRule="atLeast"/>
        </w:trPr>
        <w:tc>
          <w:tcPr>
            <w:tcW w:w="558" w:type="dxa"/>
            <w:tcBorders>
              <w:top w:val="single" w:color="auto" w:sz="4" w:space="0"/>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07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 Penyusunan Laporan Capaian Kinerja dan Ikhtisar Realisasi Kinerja SKPD</w:t>
            </w:r>
          </w:p>
        </w:tc>
        <w:tc>
          <w:tcPr>
            <w:tcW w:w="135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Tahunan (Buku)</w:t>
            </w:r>
          </w:p>
        </w:tc>
        <w:tc>
          <w:tcPr>
            <w:tcW w:w="112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70 buku</w:t>
            </w:r>
          </w:p>
        </w:tc>
        <w:tc>
          <w:tcPr>
            <w:tcW w:w="194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16,625,000.00 </w:t>
            </w:r>
          </w:p>
        </w:tc>
        <w:tc>
          <w:tcPr>
            <w:tcW w:w="180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 Penyusunan Laporan Capaian Kinerja dan Ikhtisar Realisasi Kinerja SKPD</w:t>
            </w:r>
          </w:p>
        </w:tc>
        <w:tc>
          <w:tcPr>
            <w:tcW w:w="1311"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Tahunan (Buku)</w:t>
            </w:r>
          </w:p>
        </w:tc>
        <w:tc>
          <w:tcPr>
            <w:tcW w:w="115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70 buku</w:t>
            </w:r>
          </w:p>
        </w:tc>
        <w:tc>
          <w:tcPr>
            <w:tcW w:w="191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16,625,000.00 </w:t>
            </w:r>
          </w:p>
        </w:tc>
        <w:tc>
          <w:tcPr>
            <w:tcW w:w="951" w:type="dxa"/>
            <w:tcBorders>
              <w:top w:val="single" w:color="auto" w:sz="4" w:space="0"/>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1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 Penyusunan Laporan Keuangan Semesteran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semester I dan semester II (Buku)</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buku</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11,160,000.00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 Penyusunan Laporan Keuangan Semesteran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semester I dan semester II (Buku)</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buku</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11,160,000.00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1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 Penyusunan Pelaporan Keuangan Akhir Tahun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akhir (Buku)</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buku</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4,565,000.00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 Penyusunan Pelaporan Keuangan Akhir Tahun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akhir (Buku)</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buku</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4,565,000.00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VI</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Peningkatan dan Penerimaan BPHTB</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Tingkat pelayanan penerimaan BPHTB</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2,781,250,361.00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Peningkatan dan Penerimaan BPHTB</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Tingkat pelayanan penerimaan BPHTB</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2,781,250,361.00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 Pelayanan dan Penelitian BPHTB</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validasi dan penelitian BPHTB</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1,251,563,361.00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 Pelayanan dan Penelitian BPHTB</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validasi dan penelitian BPHTB</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1,251,563,361.00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 Pembukuan BPHTB dab BUMD</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pembukuan BPHTB dan BUMD</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 buku</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417,187,000.00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 Pembukuan BPHTB dan BUMD</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pembukuan BPHTB dan BUMD</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 buku</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417,187,000.00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55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 Verifikasi dan Validasi</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Pengajuan permohonan Wajib Pajak untuk pembayaran BPHTB yang terverifikasi dan tervalidasi</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1,112,500,000.00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 Verifikasi dan Validasi</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Pengajuan permohonan Wajib Pajak untuk pembayaran BPHTB yang terverifikasi dan tervalidasi</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1,112,500,000.00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VII</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Peningkatan dan Penerimaan PBB</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Layanan PBB</w:t>
            </w:r>
          </w:p>
        </w:tc>
        <w:tc>
          <w:tcPr>
            <w:tcW w:w="1120" w:type="dxa"/>
            <w:tcBorders>
              <w:top w:val="nil"/>
              <w:left w:val="nil"/>
              <w:bottom w:val="single" w:color="auto" w:sz="4" w:space="0"/>
              <w:right w:val="single" w:color="auto" w:sz="8"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40" w:type="dxa"/>
            <w:tcBorders>
              <w:top w:val="nil"/>
              <w:left w:val="nil"/>
              <w:bottom w:val="single" w:color="auto" w:sz="4" w:space="0"/>
              <w:right w:val="single" w:color="auto" w:sz="12" w:space="0"/>
            </w:tcBorders>
            <w:shd w:val="clear" w:color="auto" w:fill="auto"/>
            <w:noWrap/>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6,926,419,016.00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Peningkatan dan Penerimaan PBB</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Layanan PBB</w:t>
            </w:r>
          </w:p>
        </w:tc>
        <w:tc>
          <w:tcPr>
            <w:tcW w:w="1150" w:type="dxa"/>
            <w:tcBorders>
              <w:top w:val="nil"/>
              <w:left w:val="nil"/>
              <w:bottom w:val="single" w:color="auto" w:sz="4" w:space="0"/>
              <w:right w:val="single" w:color="auto" w:sz="8"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10" w:type="dxa"/>
            <w:tcBorders>
              <w:top w:val="nil"/>
              <w:left w:val="nil"/>
              <w:bottom w:val="single" w:color="auto" w:sz="4" w:space="0"/>
              <w:right w:val="single" w:color="auto" w:sz="12" w:space="0"/>
            </w:tcBorders>
            <w:shd w:val="clear" w:color="auto" w:fill="auto"/>
            <w:noWrap/>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6,926,419,016.00 </w:t>
            </w:r>
          </w:p>
        </w:tc>
        <w:tc>
          <w:tcPr>
            <w:tcW w:w="951" w:type="dxa"/>
            <w:tcBorders>
              <w:top w:val="nil"/>
              <w:left w:val="single" w:color="auto" w:sz="8" w:space="0"/>
              <w:bottom w:val="single" w:color="auto" w:sz="4" w:space="0"/>
              <w:right w:val="single" w:color="auto" w:sz="8" w:space="0"/>
            </w:tcBorders>
            <w:shd w:val="clear" w:color="auto" w:fill="auto"/>
            <w:noWrap/>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single" w:color="auto" w:sz="4" w:space="0"/>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07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 Optimalisasi penerimaan PBB-P2</w:t>
            </w:r>
          </w:p>
        </w:tc>
        <w:tc>
          <w:tcPr>
            <w:tcW w:w="135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penerimaan PBB - P2</w:t>
            </w:r>
          </w:p>
        </w:tc>
        <w:tc>
          <w:tcPr>
            <w:tcW w:w="112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94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2,431,920,669.00 </w:t>
            </w:r>
          </w:p>
        </w:tc>
        <w:tc>
          <w:tcPr>
            <w:tcW w:w="180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 Optimalisasi penerimaan PBB - P2</w:t>
            </w:r>
          </w:p>
        </w:tc>
        <w:tc>
          <w:tcPr>
            <w:tcW w:w="1311"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penerimaan PBB - P2</w:t>
            </w:r>
          </w:p>
        </w:tc>
        <w:tc>
          <w:tcPr>
            <w:tcW w:w="115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91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2,431,920,669.00 </w:t>
            </w:r>
          </w:p>
        </w:tc>
        <w:tc>
          <w:tcPr>
            <w:tcW w:w="951" w:type="dxa"/>
            <w:tcBorders>
              <w:top w:val="single" w:color="auto" w:sz="4" w:space="0"/>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29. Pencetakan massal dan individual SPPT PBB - P2</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penerbitan SPPT PBB - P2</w:t>
            </w:r>
          </w:p>
        </w:tc>
        <w:tc>
          <w:tcPr>
            <w:tcW w:w="1120" w:type="dxa"/>
            <w:tcBorders>
              <w:top w:val="nil"/>
              <w:left w:val="nil"/>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1441746 Objek Pajak</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1,154,838,826.00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 Pencetakan massal dan individual SPPT PBB - P2</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penerbitan SPPT PBB - P2</w:t>
            </w:r>
          </w:p>
        </w:tc>
        <w:tc>
          <w:tcPr>
            <w:tcW w:w="1150" w:type="dxa"/>
            <w:tcBorders>
              <w:top w:val="nil"/>
              <w:left w:val="nil"/>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1441746 Objek Pajak</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1,154,838,826.00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292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Monitoring, Evaluasi dan Pelaporan Perkembangan Penerimaan PBB - P2</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Desa/Kelurahan di 33 Kecamatan yang dilakukan kegiatan Monitoring dan evaluasi perkembangan penerimaan PBB - P2 Jumlah laporan penerimaan mingguan PBB - P2 dalam 1 tahun</w:t>
            </w:r>
          </w:p>
        </w:tc>
        <w:tc>
          <w:tcPr>
            <w:tcW w:w="1120" w:type="dxa"/>
            <w:tcBorders>
              <w:top w:val="nil"/>
              <w:left w:val="nil"/>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248 Desa</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755,100,693.00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 Monitoring, Evaluasi dan Pelaporan Perkembangan Penerimaan PBB - P2</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Desa/Kelurahan di 33 Kecamatan yang dilakukan kegiatan Monitoring dan evaluasi perkembangan penerimaan PBB - P2 Jumlah laporan penerimaan mingguan PBB - P2 dalam 1 tahun</w:t>
            </w:r>
          </w:p>
        </w:tc>
        <w:tc>
          <w:tcPr>
            <w:tcW w:w="1150" w:type="dxa"/>
            <w:tcBorders>
              <w:top w:val="nil"/>
              <w:left w:val="nil"/>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248 Desa</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755,100,693.00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9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Pengelolaan Data Base Objek dan Subjek PBB P2</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Pemeliharaan dan Pengembangan Sistem PBB - P2</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1,085,338,431.00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29. Pengelolaan Data Base Objek dan Subjek PBB P2</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Pemeliharaan dan Pengembangan Sistem PBB - P2</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1,085,338,431.00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4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 Pekan Panutan Dan Pendistribusian SPPT PBB - P2</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Pekan Panutan - Jumlah SPPT PBB - P2 yang didistribusikan</w:t>
            </w:r>
          </w:p>
        </w:tc>
        <w:tc>
          <w:tcPr>
            <w:tcW w:w="1120" w:type="dxa"/>
            <w:tcBorders>
              <w:top w:val="nil"/>
              <w:left w:val="nil"/>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1158380 OP</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421,027,400.00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 Pekan Panutan Dan Pendistribusian SPPT PBB - P2</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Pekan Panutan - Jumlah SPPT PBB - P2 yang didistribusikan</w:t>
            </w:r>
          </w:p>
        </w:tc>
        <w:tc>
          <w:tcPr>
            <w:tcW w:w="1150" w:type="dxa"/>
            <w:tcBorders>
              <w:top w:val="nil"/>
              <w:left w:val="nil"/>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1158380 OP</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421,027,400.00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57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Pembentukan dan Pemeliharaan Basis Data PBB - P2</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 yang dilakukan pembentukan basis data - Jumlah Desa yang dilakukan pemeliharaan Basis data</w:t>
            </w:r>
          </w:p>
        </w:tc>
        <w:tc>
          <w:tcPr>
            <w:tcW w:w="1120" w:type="dxa"/>
            <w:tcBorders>
              <w:top w:val="nil"/>
              <w:left w:val="nil"/>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Desa</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1,078,192,997.00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 Pembentukan dan Pemeliharaan Basis Data PBB - P2</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 yang dilakukan pembentukan basis data - Jumlah Desa yang dilakukan pemeliharaan Basis data</w:t>
            </w:r>
          </w:p>
        </w:tc>
        <w:tc>
          <w:tcPr>
            <w:tcW w:w="1150" w:type="dxa"/>
            <w:tcBorders>
              <w:top w:val="nil"/>
              <w:left w:val="nil"/>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Desa</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1,078,192,997.00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single" w:color="auto" w:sz="4" w:space="0"/>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VIII</w:t>
            </w:r>
          </w:p>
        </w:tc>
        <w:tc>
          <w:tcPr>
            <w:tcW w:w="207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Pengawasan Penerimaan Daerah</w:t>
            </w:r>
          </w:p>
        </w:tc>
        <w:tc>
          <w:tcPr>
            <w:tcW w:w="135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53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Pengawasan Penerimaan Daerah</w:t>
            </w:r>
          </w:p>
        </w:tc>
        <w:tc>
          <w:tcPr>
            <w:tcW w:w="112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4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3,659,756,314.00 </w:t>
            </w:r>
          </w:p>
        </w:tc>
        <w:tc>
          <w:tcPr>
            <w:tcW w:w="180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Pengawasan Penerimaan Daerah</w:t>
            </w:r>
          </w:p>
        </w:tc>
        <w:tc>
          <w:tcPr>
            <w:tcW w:w="1311"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659"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Pengawasan Penerimaan Daerah</w:t>
            </w:r>
          </w:p>
        </w:tc>
        <w:tc>
          <w:tcPr>
            <w:tcW w:w="115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1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3,659,756,314.00 </w:t>
            </w:r>
          </w:p>
        </w:tc>
        <w:tc>
          <w:tcPr>
            <w:tcW w:w="951" w:type="dxa"/>
            <w:tcBorders>
              <w:top w:val="single" w:color="auto" w:sz="4" w:space="0"/>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990" w:hRule="atLeast"/>
        </w:trPr>
        <w:tc>
          <w:tcPr>
            <w:tcW w:w="558" w:type="dxa"/>
            <w:tcBorders>
              <w:top w:val="single" w:color="auto" w:sz="4" w:space="0"/>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07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 Penagihan Piutang Pajak Daerah Non PBB</w:t>
            </w:r>
          </w:p>
        </w:tc>
        <w:tc>
          <w:tcPr>
            <w:tcW w:w="135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Penagihan Pajak Daerah (Non PBB) yang ditagih</w:t>
            </w:r>
          </w:p>
        </w:tc>
        <w:tc>
          <w:tcPr>
            <w:tcW w:w="1120" w:type="dxa"/>
            <w:tcBorders>
              <w:top w:val="single" w:color="auto" w:sz="4" w:space="0"/>
              <w:left w:val="nil"/>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Sektor Pajak</w:t>
            </w:r>
          </w:p>
        </w:tc>
        <w:tc>
          <w:tcPr>
            <w:tcW w:w="194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922,223,000.00 </w:t>
            </w:r>
          </w:p>
        </w:tc>
        <w:tc>
          <w:tcPr>
            <w:tcW w:w="180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 Penagihan Piutang Pajak Daerah Non PBB</w:t>
            </w:r>
          </w:p>
        </w:tc>
        <w:tc>
          <w:tcPr>
            <w:tcW w:w="1311"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Penagihan Pajak Daerah (Non PBB) yang ditagih</w:t>
            </w:r>
          </w:p>
        </w:tc>
        <w:tc>
          <w:tcPr>
            <w:tcW w:w="1150" w:type="dxa"/>
            <w:tcBorders>
              <w:top w:val="single" w:color="auto" w:sz="4" w:space="0"/>
              <w:left w:val="nil"/>
              <w:bottom w:val="single" w:color="auto" w:sz="4"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Sektor Pajak</w:t>
            </w:r>
          </w:p>
        </w:tc>
        <w:tc>
          <w:tcPr>
            <w:tcW w:w="191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922,223,000.00 </w:t>
            </w:r>
          </w:p>
        </w:tc>
        <w:tc>
          <w:tcPr>
            <w:tcW w:w="951" w:type="dxa"/>
            <w:tcBorders>
              <w:top w:val="single" w:color="auto" w:sz="4" w:space="0"/>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35. Monitoring dan Evaluasi  Pajak Daerah </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hasil monitoring dan evaluasi atas penerimaan pajak daerah</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 kali</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809,881,000.00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Monitoring dan Evaluasi Pajak Daerah</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hasil Monitoring dan  Evaluasi atas Pajak Daerah</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 kali</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809,881,000.00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65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36. Pembinaan Aparatur Pengelolaan Pajak Daerah</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pembinaan aparatur pengelolaan Pajak di 7 UPT dan konsultasi di Provinsi dan Pusat</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kali</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 Pembinaan Aparatur Pengelolaan Pajak Daerah</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pembinaan aparatur pengelolaan Pajak di 7 UPT dan konsultasi di Provinsi dan Pusat</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kali</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9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 Penanganan Keberatan dan Pengurangan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penanganan keberatan dan pengurangan objek pajak</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 WP</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455,456,314.00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35. Penanganan Keberatan dan Pengurangan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penanganan keberatan dan pengurangan objek pajak</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 WP</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455,456,314.00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38. Operasi Gabungan Penertiban Pajak Daerah</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operasi gabungan yang dilakukan</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Kegiatan</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612,006,000.00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36. Operasi Gabungan Penertiban Pajak Daerah</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operasi gabungan yang dilakukan</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Kegiatan</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612,006,000.00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 Pemeriksaan Pajak Daerah</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pemeriksaan Pajak Daerah ke Wajib Pajak</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14 Kegiatan </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508,636,000.00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 Pemeriksaan Pajak Daerah</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pemeriksaan Pajak Daerah ke Wajib Pajak</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14 Kegiatan </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508,636,000.00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335" w:hRule="atLeast"/>
        </w:trPr>
        <w:tc>
          <w:tcPr>
            <w:tcW w:w="558" w:type="dxa"/>
            <w:tcBorders>
              <w:top w:val="single" w:color="auto" w:sz="4" w:space="0"/>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207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 Rekonsiliasi Piutang Pajak</w:t>
            </w:r>
          </w:p>
        </w:tc>
        <w:tc>
          <w:tcPr>
            <w:tcW w:w="135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pelaksanaan rekonsiliasi piutang dan tunggakan pajak di 7 UPT</w:t>
            </w:r>
          </w:p>
        </w:tc>
        <w:tc>
          <w:tcPr>
            <w:tcW w:w="112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Kegiatan</w:t>
            </w:r>
          </w:p>
        </w:tc>
        <w:tc>
          <w:tcPr>
            <w:tcW w:w="194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351,554,000.00 </w:t>
            </w:r>
          </w:p>
        </w:tc>
        <w:tc>
          <w:tcPr>
            <w:tcW w:w="180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38. Rekonsiliasi Piutang Pajak</w:t>
            </w:r>
          </w:p>
        </w:tc>
        <w:tc>
          <w:tcPr>
            <w:tcW w:w="1311"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pelaksanaan rekonsiliasi piutang dan tunggakan pajak di 7 UPT</w:t>
            </w:r>
          </w:p>
        </w:tc>
        <w:tc>
          <w:tcPr>
            <w:tcW w:w="115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Kegiatan</w:t>
            </w:r>
          </w:p>
        </w:tc>
        <w:tc>
          <w:tcPr>
            <w:tcW w:w="191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351,554,000.00 </w:t>
            </w:r>
          </w:p>
        </w:tc>
        <w:tc>
          <w:tcPr>
            <w:tcW w:w="951" w:type="dxa"/>
            <w:tcBorders>
              <w:top w:val="single" w:color="auto" w:sz="4" w:space="0"/>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4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IX</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Peningkatan Penerimaan Pajak Non PBB dan BPHTB</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Penerimaan Pajak Non PBB dan BPHTB</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3,710,485,980.00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Peningkatan Penerimaan Pajak Non PBB dan BPHTB</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Penerimaan Pajak Non PBB dan BPHTB</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3,710,485,980.00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217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 Penyediaan Jasa Administrasi Perpajakan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Penghitungan Penetapan Penerbitan dan Pendistribusian Surat Ketetapan Pajak (SKP/SKPD) serta Pemeliharaan Sistem Aplikasi Perpajakan</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15.800 SKPD</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1,399,508,685.00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 Penyediaan Jasa Administrasi Perpajakan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Penghitungan Penetapan Penerbitan dan Pendistribusian Surat Ketetapan Pajak (SKP/SKPD) serta Pemeliharaan Sistem Aplikasi Perpajakan</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15.800 SKPD</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1,399,508,685.00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55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 Penyusunan Data Penghitungan dan Rekonsiliasi Bagi Hasil Pajak Daerah dan Retribusi Kepada Desa</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 yang mendapatkan bagi hasil pajak dan retribusi</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510 Desa</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344,524,000.00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 Penyusunan Data Penghitungan dan Rekonsiliasi Bagi Hasil Pajak Daerah dan Retribusi Kepada Desa</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 yang mendapatkan bagi hasil pajak dan retribusi</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510 Desa</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344,524,000.00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 Penyusunan target dan laporan perpajakan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realisasi yang disusun</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295 laporan</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416,039,100.00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 Penyusunan target dan laporan perpajakan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realisasi yang disusun</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295 laporan</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416,039,100.00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56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 Pelayanan dan pengadministrasian permintaan perforasi benda - benda berharga</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permintaan perforasi dan pengadministrasian pengelolaan benda - benda berharga</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336 Wajib Pajak</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288,381,947.00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 Pelayanan dan pengadministrasian permintaan perforasi benda - benda berharga</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permintaan perforasi dan pengadministrasian pengelolaan benda - benda berharga</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336 Wajib Pajak</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288,381,947.00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60" w:hRule="atLeast"/>
        </w:trPr>
        <w:tc>
          <w:tcPr>
            <w:tcW w:w="558" w:type="dxa"/>
            <w:tcBorders>
              <w:top w:val="single" w:color="auto" w:sz="4" w:space="0"/>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207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 Intensifikasi dan Ekstensifikasi sumber - sumber Pendapatan Daerah</w:t>
            </w:r>
          </w:p>
        </w:tc>
        <w:tc>
          <w:tcPr>
            <w:tcW w:w="135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obyek pajak yang dilakukan Intensifikasi dan Ekstensifikasi</w:t>
            </w:r>
          </w:p>
        </w:tc>
        <w:tc>
          <w:tcPr>
            <w:tcW w:w="112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99 Obyek Pajak</w:t>
            </w:r>
          </w:p>
        </w:tc>
        <w:tc>
          <w:tcPr>
            <w:tcW w:w="194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648,977,748.00 </w:t>
            </w:r>
          </w:p>
        </w:tc>
        <w:tc>
          <w:tcPr>
            <w:tcW w:w="1800"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 Intensifikasi dan Ekstensifikasi sumber - sumber Pendapatan Daerah</w:t>
            </w:r>
          </w:p>
        </w:tc>
        <w:tc>
          <w:tcPr>
            <w:tcW w:w="1311"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single" w:color="auto" w:sz="4" w:space="0"/>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obyek pajak yang dilakukan Intensifikasi dan Ekstensifikasi</w:t>
            </w:r>
          </w:p>
        </w:tc>
        <w:tc>
          <w:tcPr>
            <w:tcW w:w="1150" w:type="dxa"/>
            <w:tcBorders>
              <w:top w:val="single" w:color="auto" w:sz="4" w:space="0"/>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99 Obyek Pajak</w:t>
            </w:r>
          </w:p>
        </w:tc>
        <w:tc>
          <w:tcPr>
            <w:tcW w:w="1910" w:type="dxa"/>
            <w:tcBorders>
              <w:top w:val="single" w:color="auto" w:sz="4" w:space="0"/>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648,977,748.00 </w:t>
            </w:r>
          </w:p>
        </w:tc>
        <w:tc>
          <w:tcPr>
            <w:tcW w:w="951" w:type="dxa"/>
            <w:tcBorders>
              <w:top w:val="single" w:color="auto" w:sz="4" w:space="0"/>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90"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46. Pendaftaran pendataan dan pemutakhiran data obyek pajak</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wajib pajak yang terdaftar dan jumlah pendataan obyek pajak</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256 Wajib Pajak</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613,054,500.00 </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 Pendaftaran pendataan dan pemutakhiran data obyek pajak</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wajib pajak yang terdaftar dan jumlah pendataan obyek pajak</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256 Wajib Pajak</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613,054,500.00 </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85" w:hRule="atLeast"/>
        </w:trPr>
        <w:tc>
          <w:tcPr>
            <w:tcW w:w="558" w:type="dxa"/>
            <w:tcBorders>
              <w:top w:val="nil"/>
              <w:left w:val="single" w:color="auto" w:sz="8" w:space="0"/>
              <w:bottom w:val="single" w:color="auto" w:sz="4" w:space="0"/>
              <w:right w:val="single" w:color="auto" w:sz="4" w:space="0"/>
            </w:tcBorders>
            <w:shd w:val="clear" w:color="auto" w:fill="auto"/>
            <w:noWrap/>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207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 Penyusunan regulasi perpajakan</w:t>
            </w:r>
          </w:p>
        </w:tc>
        <w:tc>
          <w:tcPr>
            <w:tcW w:w="135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53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RAPERDA dan PERBUP yang dihasilkan</w:t>
            </w:r>
          </w:p>
        </w:tc>
        <w:tc>
          <w:tcPr>
            <w:tcW w:w="112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Dokumen</w:t>
            </w:r>
          </w:p>
        </w:tc>
        <w:tc>
          <w:tcPr>
            <w:tcW w:w="1940" w:type="dxa"/>
            <w:tcBorders>
              <w:top w:val="nil"/>
              <w:left w:val="nil"/>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800"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 Penyusunan regulasi perpajakan</w:t>
            </w:r>
          </w:p>
        </w:tc>
        <w:tc>
          <w:tcPr>
            <w:tcW w:w="1311"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Badan Pendapatan Daerah </w:t>
            </w:r>
          </w:p>
        </w:tc>
        <w:tc>
          <w:tcPr>
            <w:tcW w:w="1659" w:type="dxa"/>
            <w:tcBorders>
              <w:top w:val="nil"/>
              <w:left w:val="nil"/>
              <w:bottom w:val="single" w:color="auto" w:sz="4" w:space="0"/>
              <w:right w:val="single" w:color="auto" w:sz="8"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RAPERDA dan PERBUP yang dihasilkan</w:t>
            </w:r>
          </w:p>
        </w:tc>
        <w:tc>
          <w:tcPr>
            <w:tcW w:w="1150" w:type="dxa"/>
            <w:tcBorders>
              <w:top w:val="nil"/>
              <w:left w:val="nil"/>
              <w:bottom w:val="single" w:color="auto" w:sz="4"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Dokumen</w:t>
            </w:r>
          </w:p>
        </w:tc>
        <w:tc>
          <w:tcPr>
            <w:tcW w:w="1910" w:type="dxa"/>
            <w:tcBorders>
              <w:top w:val="nil"/>
              <w:left w:val="nil"/>
              <w:bottom w:val="single" w:color="auto" w:sz="4" w:space="0"/>
              <w:right w:val="single" w:color="auto" w:sz="12"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951" w:type="dxa"/>
            <w:tcBorders>
              <w:top w:val="nil"/>
              <w:left w:val="single" w:color="auto" w:sz="8" w:space="0"/>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500" w:hRule="atLeast"/>
        </w:trPr>
        <w:tc>
          <w:tcPr>
            <w:tcW w:w="558" w:type="dxa"/>
            <w:tcBorders>
              <w:top w:val="nil"/>
              <w:left w:val="single" w:color="auto" w:sz="8" w:space="0"/>
              <w:bottom w:val="double" w:color="auto" w:sz="6" w:space="0"/>
              <w:right w:val="nil"/>
            </w:tcBorders>
            <w:shd w:val="clear" w:color="auto" w:fill="auto"/>
            <w:noWrap/>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6070" w:type="dxa"/>
            <w:gridSpan w:val="4"/>
            <w:tcBorders>
              <w:top w:val="nil"/>
              <w:left w:val="nil"/>
              <w:bottom w:val="double" w:color="auto" w:sz="6" w:space="0"/>
              <w:right w:val="single" w:color="auto" w:sz="8"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Total </w:t>
            </w:r>
          </w:p>
        </w:tc>
        <w:tc>
          <w:tcPr>
            <w:tcW w:w="1940" w:type="dxa"/>
            <w:tcBorders>
              <w:top w:val="nil"/>
              <w:left w:val="nil"/>
              <w:bottom w:val="double" w:color="auto" w:sz="6"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6"/>
                <w:szCs w:val="16"/>
              </w:rPr>
            </w:pPr>
            <w:r>
              <w:rPr>
                <w:rFonts w:ascii="Bookman Old Style" w:hAnsi="Bookman Old Style" w:eastAsia="Times New Roman" w:cs="Calibri"/>
                <w:b/>
                <w:bCs/>
                <w:color w:val="000000"/>
                <w:sz w:val="18"/>
                <w:szCs w:val="18"/>
              </w:rPr>
              <w:t xml:space="preserve">            </w:t>
            </w:r>
            <w:r>
              <w:rPr>
                <w:rFonts w:ascii="Bookman Old Style" w:hAnsi="Bookman Old Style" w:eastAsia="Times New Roman" w:cs="Calibri"/>
                <w:b/>
                <w:bCs/>
                <w:color w:val="000000"/>
                <w:sz w:val="16"/>
                <w:szCs w:val="16"/>
              </w:rPr>
              <w:t xml:space="preserve">27,806,538,882.00 </w:t>
            </w:r>
          </w:p>
        </w:tc>
        <w:tc>
          <w:tcPr>
            <w:tcW w:w="4770" w:type="dxa"/>
            <w:gridSpan w:val="3"/>
            <w:tcBorders>
              <w:top w:val="nil"/>
              <w:left w:val="nil"/>
              <w:bottom w:val="double" w:color="auto" w:sz="6"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Total </w:t>
            </w:r>
          </w:p>
        </w:tc>
        <w:tc>
          <w:tcPr>
            <w:tcW w:w="1150" w:type="dxa"/>
            <w:tcBorders>
              <w:top w:val="nil"/>
              <w:left w:val="nil"/>
              <w:bottom w:val="double" w:color="auto" w:sz="6" w:space="0"/>
              <w:right w:val="single" w:color="auto" w:sz="8"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10" w:type="dxa"/>
            <w:tcBorders>
              <w:top w:val="nil"/>
              <w:left w:val="nil"/>
              <w:bottom w:val="double" w:color="auto" w:sz="6" w:space="0"/>
              <w:right w:val="single" w:color="auto" w:sz="12" w:space="0"/>
            </w:tcBorders>
            <w:shd w:val="clear" w:color="auto" w:fill="auto"/>
            <w:noWrap/>
            <w:vAlign w:val="center"/>
          </w:tcPr>
          <w:p>
            <w:pPr>
              <w:spacing w:after="0" w:line="240" w:lineRule="auto"/>
              <w:rPr>
                <w:rFonts w:ascii="Bookman Old Style" w:hAnsi="Bookman Old Style" w:eastAsia="Times New Roman" w:cs="Calibri"/>
                <w:b/>
                <w:bCs/>
                <w:color w:val="000000"/>
                <w:sz w:val="16"/>
                <w:szCs w:val="16"/>
              </w:rPr>
            </w:pPr>
            <w:r>
              <w:rPr>
                <w:rFonts w:ascii="Bookman Old Style" w:hAnsi="Bookman Old Style" w:eastAsia="Times New Roman" w:cs="Calibri"/>
                <w:b/>
                <w:bCs/>
                <w:color w:val="000000"/>
                <w:sz w:val="18"/>
                <w:szCs w:val="18"/>
              </w:rPr>
              <w:t xml:space="preserve">           </w:t>
            </w:r>
            <w:r>
              <w:rPr>
                <w:rFonts w:ascii="Bookman Old Style" w:hAnsi="Bookman Old Style" w:eastAsia="Times New Roman" w:cs="Calibri"/>
                <w:b/>
                <w:bCs/>
                <w:color w:val="000000"/>
                <w:sz w:val="16"/>
                <w:szCs w:val="16"/>
              </w:rPr>
              <w:t xml:space="preserve">27,806,538,882.00 </w:t>
            </w:r>
          </w:p>
        </w:tc>
        <w:tc>
          <w:tcPr>
            <w:tcW w:w="951" w:type="dxa"/>
            <w:tcBorders>
              <w:top w:val="nil"/>
              <w:left w:val="single" w:color="auto" w:sz="8" w:space="0"/>
              <w:bottom w:val="double" w:color="auto" w:sz="6" w:space="0"/>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bl>
    <w:p>
      <w:pPr>
        <w:tabs>
          <w:tab w:val="left" w:pos="13671"/>
        </w:tabs>
        <w:rPr>
          <w:lang w:val="en-GB"/>
        </w:rPr>
      </w:pPr>
    </w:p>
    <w:p>
      <w:pPr>
        <w:tabs>
          <w:tab w:val="left" w:pos="13671"/>
        </w:tabs>
        <w:rPr>
          <w:lang w:val="en-GB"/>
        </w:rPr>
        <w:sectPr>
          <w:pgSz w:w="20160" w:h="12240" w:orient="landscape"/>
          <w:pgMar w:top="1555" w:right="850" w:bottom="1411" w:left="288" w:header="706" w:footer="706" w:gutter="0"/>
          <w:cols w:space="708" w:num="1"/>
          <w:titlePg/>
          <w:docGrid w:linePitch="360" w:charSpace="0"/>
        </w:sectPr>
      </w:pPr>
      <w:r>
        <w:rPr>
          <w:lang w:val="en-GB"/>
        </w:rPr>
        <w:tab/>
      </w:r>
    </w:p>
    <w:p>
      <w:pPr>
        <w:pStyle w:val="15"/>
        <w:spacing w:line="360" w:lineRule="auto"/>
        <w:jc w:val="both"/>
        <w:rPr>
          <w:rFonts w:ascii="Bookman Old Style" w:hAnsi="Bookman Old Style" w:cs="Arial"/>
          <w:sz w:val="24"/>
          <w:szCs w:val="24"/>
        </w:rPr>
      </w:pPr>
      <w:r>
        <w:rPr>
          <w:rFonts w:ascii="Bookman Old Style" w:hAnsi="Bookman Old Style" w:cs="Arial"/>
          <w:sz w:val="24"/>
          <w:szCs w:val="24"/>
          <w:lang w:val="en-GB"/>
        </w:rPr>
        <w:t>Dari Tabel 2.3 di atas dapat kita ketahui bahwa</w:t>
      </w:r>
      <w:r>
        <w:rPr>
          <w:rFonts w:ascii="Bookman Old Style" w:hAnsi="Bookman Old Style" w:cs="Arial"/>
          <w:sz w:val="24"/>
          <w:szCs w:val="24"/>
        </w:rPr>
        <w:t xml:space="preserve"> program dan kegiatan yang dilaksanakan pada tahun 2020 sama dengan pr</w:t>
      </w:r>
      <w:r>
        <w:rPr>
          <w:rFonts w:ascii="Bookman Old Style" w:hAnsi="Bookman Old Style" w:cs="Arial"/>
          <w:sz w:val="24"/>
          <w:szCs w:val="24"/>
          <w:lang w:val="zh-CN"/>
        </w:rPr>
        <w:t>o</w:t>
      </w:r>
      <w:r>
        <w:rPr>
          <w:rFonts w:ascii="Bookman Old Style" w:hAnsi="Bookman Old Style" w:cs="Arial"/>
          <w:sz w:val="24"/>
          <w:szCs w:val="24"/>
        </w:rPr>
        <w:t>gram dan kegiatan tahun 2019. Artinya adalah ada kesinambungan program dan kegiatan dalam rangka pencapaian tujuan dan sasaran Badan Pendapatan Daerah tahun 2016-2020. Target yang telah ditetapkan di awal Renstra dibreakdown menjadi target setiap tahun serta selalu dievaluasi capaiannya.</w:t>
      </w:r>
    </w:p>
    <w:p>
      <w:pPr>
        <w:pStyle w:val="15"/>
        <w:spacing w:line="360" w:lineRule="auto"/>
        <w:jc w:val="both"/>
        <w:rPr>
          <w:rFonts w:ascii="Bookman Old Style" w:hAnsi="Bookman Old Style" w:cs="Arial"/>
          <w:sz w:val="24"/>
          <w:szCs w:val="24"/>
          <w:lang w:val="en-GB"/>
        </w:rPr>
      </w:pPr>
    </w:p>
    <w:p>
      <w:pPr>
        <w:pStyle w:val="15"/>
        <w:numPr>
          <w:ilvl w:val="1"/>
          <w:numId w:val="11"/>
        </w:numPr>
        <w:spacing w:line="360" w:lineRule="auto"/>
        <w:ind w:left="567" w:hanging="567"/>
        <w:jc w:val="both"/>
        <w:rPr>
          <w:rFonts w:ascii="Bookman Old Style" w:hAnsi="Bookman Old Style" w:cs="Arial"/>
          <w:b/>
          <w:sz w:val="24"/>
          <w:szCs w:val="24"/>
          <w:lang w:val="en-GB"/>
        </w:rPr>
      </w:pPr>
      <w:r>
        <w:rPr>
          <w:rFonts w:ascii="Bookman Old Style" w:hAnsi="Bookman Old Style" w:cs="Arial"/>
          <w:b/>
          <w:sz w:val="24"/>
          <w:szCs w:val="24"/>
          <w:lang w:val="en-GB"/>
        </w:rPr>
        <w:t>Penelaahan Usulan Program dan Kegiatan</w:t>
      </w:r>
    </w:p>
    <w:p>
      <w:pPr>
        <w:pStyle w:val="15"/>
        <w:spacing w:line="360" w:lineRule="auto"/>
        <w:ind w:left="567" w:firstLine="567"/>
        <w:jc w:val="both"/>
        <w:rPr>
          <w:rFonts w:ascii="Bookman Old Style" w:hAnsi="Bookman Old Style" w:cs="Arial"/>
          <w:sz w:val="24"/>
          <w:szCs w:val="24"/>
          <w:lang w:val="en-GB"/>
        </w:rPr>
      </w:pPr>
      <w:r>
        <w:rPr>
          <w:rFonts w:ascii="Bookman Old Style" w:hAnsi="Bookman Old Style" w:cs="Arial"/>
          <w:sz w:val="24"/>
          <w:szCs w:val="24"/>
          <w:lang w:val="en-GB"/>
        </w:rPr>
        <w:t xml:space="preserve">Pada kegiatan Musrenbang yang telah diadakan oleh Badan Perencanaan Pembangunan Daerah Kabupaten Malang belum ada usulan ( NIHIL ) program atau kegiatan dari masyarakat yang ditujukan pada Badan Pendapatan Daerah hal ini dikarenakan Badan Pendapatan Daerah tidak berhubungan langsung dengan pelayanan masyarakat yang bersifat fisik hal ini dapat di lihat dalam tabel Usulan Program dan Kegiatan seperti yang tertera pada </w:t>
      </w:r>
      <w:r>
        <w:rPr>
          <w:rFonts w:ascii="Bookman Old Style" w:hAnsi="Bookman Old Style" w:cs="Arial"/>
          <w:b/>
          <w:sz w:val="24"/>
          <w:szCs w:val="24"/>
          <w:lang w:val="en-GB"/>
        </w:rPr>
        <w:t>tabel 2.4</w:t>
      </w:r>
      <w:r>
        <w:rPr>
          <w:rFonts w:ascii="Bookman Old Style" w:hAnsi="Bookman Old Style" w:cs="Arial"/>
          <w:sz w:val="24"/>
          <w:szCs w:val="24"/>
          <w:lang w:val="en-GB"/>
        </w:rPr>
        <w:t xml:space="preserve"> dibawah ini:</w:t>
      </w:r>
    </w:p>
    <w:p>
      <w:pPr>
        <w:pStyle w:val="15"/>
        <w:spacing w:line="360" w:lineRule="auto"/>
        <w:jc w:val="both"/>
        <w:rPr>
          <w:rFonts w:ascii="Bookman Old Style" w:hAnsi="Bookman Old Style" w:cs="Arial"/>
          <w:sz w:val="24"/>
          <w:szCs w:val="24"/>
        </w:rPr>
      </w:pPr>
    </w:p>
    <w:p>
      <w:pPr>
        <w:pStyle w:val="15"/>
        <w:spacing w:line="360" w:lineRule="auto"/>
        <w:jc w:val="both"/>
        <w:rPr>
          <w:rFonts w:ascii="Bookman Old Style" w:hAnsi="Bookman Old Style" w:cs="Arial"/>
          <w:sz w:val="24"/>
          <w:szCs w:val="24"/>
        </w:rPr>
      </w:pPr>
    </w:p>
    <w:p>
      <w:pPr>
        <w:pStyle w:val="15"/>
        <w:spacing w:line="360" w:lineRule="auto"/>
        <w:jc w:val="both"/>
        <w:rPr>
          <w:rFonts w:ascii="Bookman Old Style" w:hAnsi="Bookman Old Style" w:cs="Arial"/>
          <w:sz w:val="24"/>
          <w:szCs w:val="24"/>
        </w:rPr>
      </w:pPr>
    </w:p>
    <w:p>
      <w:pPr>
        <w:pStyle w:val="15"/>
        <w:spacing w:line="360" w:lineRule="auto"/>
        <w:jc w:val="both"/>
        <w:rPr>
          <w:rFonts w:ascii="Bookman Old Style" w:hAnsi="Bookman Old Style" w:cs="Arial"/>
          <w:sz w:val="24"/>
          <w:szCs w:val="24"/>
          <w:lang w:val="en-GB"/>
        </w:rPr>
      </w:pPr>
    </w:p>
    <w:p>
      <w:pPr>
        <w:pStyle w:val="15"/>
        <w:spacing w:line="360" w:lineRule="auto"/>
        <w:jc w:val="both"/>
        <w:rPr>
          <w:rFonts w:ascii="Bookman Old Style" w:hAnsi="Bookman Old Style" w:cs="Arial"/>
          <w:sz w:val="24"/>
          <w:szCs w:val="24"/>
          <w:lang w:val="en-GB"/>
        </w:rPr>
      </w:pPr>
    </w:p>
    <w:p>
      <w:pPr>
        <w:rPr>
          <w:rFonts w:ascii="Bookman Old Style" w:hAnsi="Bookman Old Style" w:cs="Arial"/>
          <w:b/>
          <w:sz w:val="24"/>
          <w:szCs w:val="24"/>
          <w:lang w:val="en-GB"/>
        </w:rPr>
      </w:pPr>
    </w:p>
    <w:p>
      <w:pPr>
        <w:rPr>
          <w:rFonts w:ascii="Bookman Old Style" w:hAnsi="Bookman Old Style" w:cs="Arial"/>
          <w:b/>
          <w:sz w:val="24"/>
          <w:szCs w:val="24"/>
          <w:lang w:val="en-GB"/>
        </w:rPr>
      </w:pPr>
    </w:p>
    <w:p>
      <w:pPr>
        <w:spacing w:after="0" w:line="240" w:lineRule="auto"/>
        <w:jc w:val="center"/>
        <w:rPr>
          <w:rFonts w:ascii="Bookman Old Style" w:hAnsi="Bookman Old Style" w:eastAsia="Times New Roman" w:cs="Calibri"/>
          <w:b/>
          <w:bCs/>
          <w:color w:val="000000"/>
          <w:sz w:val="24"/>
          <w:szCs w:val="24"/>
        </w:rPr>
        <w:sectPr>
          <w:pgSz w:w="12191" w:h="18711"/>
          <w:pgMar w:top="1418" w:right="1418" w:bottom="1418" w:left="1418" w:header="706" w:footer="706" w:gutter="0"/>
          <w:cols w:space="708" w:num="1"/>
          <w:titlePg/>
          <w:docGrid w:linePitch="360" w:charSpace="0"/>
        </w:sectPr>
      </w:pPr>
    </w:p>
    <w:tbl>
      <w:tblPr>
        <w:tblStyle w:val="12"/>
        <w:tblpPr w:leftFromText="180" w:rightFromText="180" w:vertAnchor="page" w:horzAnchor="margin" w:tblpXSpec="center" w:tblpY="1957"/>
        <w:tblW w:w="16848" w:type="dxa"/>
        <w:tblInd w:w="0" w:type="dxa"/>
        <w:tblLayout w:type="autofit"/>
        <w:tblCellMar>
          <w:top w:w="0" w:type="dxa"/>
          <w:left w:w="108" w:type="dxa"/>
          <w:bottom w:w="0" w:type="dxa"/>
          <w:right w:w="108" w:type="dxa"/>
        </w:tblCellMar>
      </w:tblPr>
      <w:tblGrid>
        <w:gridCol w:w="860"/>
        <w:gridCol w:w="3940"/>
        <w:gridCol w:w="2840"/>
        <w:gridCol w:w="3940"/>
        <w:gridCol w:w="2280"/>
        <w:gridCol w:w="2988"/>
      </w:tblGrid>
      <w:tr>
        <w:tblPrEx>
          <w:tblCellMar>
            <w:top w:w="0" w:type="dxa"/>
            <w:left w:w="108" w:type="dxa"/>
            <w:bottom w:w="0" w:type="dxa"/>
            <w:right w:w="108" w:type="dxa"/>
          </w:tblCellMar>
        </w:tblPrEx>
        <w:trPr>
          <w:trHeight w:val="500" w:hRule="atLeast"/>
        </w:trPr>
        <w:tc>
          <w:tcPr>
            <w:tcW w:w="16848" w:type="dxa"/>
            <w:gridSpan w:val="6"/>
            <w:tcBorders>
              <w:top w:val="nil"/>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Tabel 2.4</w:t>
            </w:r>
          </w:p>
        </w:tc>
      </w:tr>
      <w:tr>
        <w:tblPrEx>
          <w:tblCellMar>
            <w:top w:w="0" w:type="dxa"/>
            <w:left w:w="108" w:type="dxa"/>
            <w:bottom w:w="0" w:type="dxa"/>
            <w:right w:w="108" w:type="dxa"/>
          </w:tblCellMar>
        </w:tblPrEx>
        <w:trPr>
          <w:trHeight w:val="500" w:hRule="atLeast"/>
        </w:trPr>
        <w:tc>
          <w:tcPr>
            <w:tcW w:w="16848" w:type="dxa"/>
            <w:gridSpan w:val="6"/>
            <w:tcBorders>
              <w:top w:val="nil"/>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 xml:space="preserve"> Usulan Program dan Kegiatan dari Para Pemangku Kepentingan Tahun 2020</w:t>
            </w:r>
          </w:p>
        </w:tc>
      </w:tr>
      <w:tr>
        <w:tblPrEx>
          <w:tblCellMar>
            <w:top w:w="0" w:type="dxa"/>
            <w:left w:w="108" w:type="dxa"/>
            <w:bottom w:w="0" w:type="dxa"/>
            <w:right w:w="108" w:type="dxa"/>
          </w:tblCellMar>
        </w:tblPrEx>
        <w:trPr>
          <w:trHeight w:val="500" w:hRule="atLeast"/>
        </w:trPr>
        <w:tc>
          <w:tcPr>
            <w:tcW w:w="16848" w:type="dxa"/>
            <w:gridSpan w:val="6"/>
            <w:tcBorders>
              <w:top w:val="nil"/>
              <w:left w:val="nil"/>
              <w:bottom w:val="nil"/>
              <w:right w:val="nil"/>
            </w:tcBorders>
            <w:shd w:val="clear" w:color="auto" w:fill="auto"/>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Kabupaten Malang</w:t>
            </w:r>
          </w:p>
        </w:tc>
      </w:tr>
      <w:tr>
        <w:tblPrEx>
          <w:tblCellMar>
            <w:top w:w="0" w:type="dxa"/>
            <w:left w:w="108" w:type="dxa"/>
            <w:bottom w:w="0" w:type="dxa"/>
            <w:right w:w="108" w:type="dxa"/>
          </w:tblCellMar>
        </w:tblPrEx>
        <w:trPr>
          <w:trHeight w:val="500" w:hRule="atLeast"/>
        </w:trPr>
        <w:tc>
          <w:tcPr>
            <w:tcW w:w="860" w:type="dxa"/>
            <w:tcBorders>
              <w:top w:val="nil"/>
              <w:left w:val="nil"/>
              <w:bottom w:val="nil"/>
              <w:right w:val="nil"/>
            </w:tcBorders>
            <w:shd w:val="clear" w:color="auto" w:fill="auto"/>
            <w:vAlign w:val="bottom"/>
          </w:tcPr>
          <w:p>
            <w:pPr>
              <w:spacing w:after="0" w:line="240" w:lineRule="auto"/>
              <w:jc w:val="center"/>
              <w:rPr>
                <w:rFonts w:ascii="Bookman Old Style" w:hAnsi="Bookman Old Style" w:eastAsia="Times New Roman" w:cs="Calibri"/>
                <w:b/>
                <w:bCs/>
                <w:color w:val="000000"/>
                <w:sz w:val="24"/>
                <w:szCs w:val="24"/>
              </w:rPr>
            </w:pPr>
          </w:p>
        </w:tc>
        <w:tc>
          <w:tcPr>
            <w:tcW w:w="3940" w:type="dxa"/>
            <w:tcBorders>
              <w:top w:val="nil"/>
              <w:left w:val="nil"/>
              <w:bottom w:val="nil"/>
              <w:right w:val="nil"/>
            </w:tcBorders>
            <w:shd w:val="clear" w:color="auto" w:fill="auto"/>
            <w:vAlign w:val="bottom"/>
          </w:tcPr>
          <w:p>
            <w:pPr>
              <w:spacing w:after="0" w:line="240" w:lineRule="auto"/>
              <w:jc w:val="center"/>
              <w:rPr>
                <w:rFonts w:ascii="Times New Roman" w:hAnsi="Times New Roman" w:eastAsia="Times New Roman"/>
                <w:sz w:val="20"/>
                <w:szCs w:val="20"/>
              </w:rPr>
            </w:pPr>
          </w:p>
        </w:tc>
        <w:tc>
          <w:tcPr>
            <w:tcW w:w="2840" w:type="dxa"/>
            <w:tcBorders>
              <w:top w:val="nil"/>
              <w:left w:val="nil"/>
              <w:bottom w:val="nil"/>
              <w:right w:val="nil"/>
            </w:tcBorders>
            <w:shd w:val="clear" w:color="auto" w:fill="auto"/>
            <w:vAlign w:val="bottom"/>
          </w:tcPr>
          <w:p>
            <w:pPr>
              <w:spacing w:after="0" w:line="240" w:lineRule="auto"/>
              <w:jc w:val="center"/>
              <w:rPr>
                <w:rFonts w:ascii="Times New Roman" w:hAnsi="Times New Roman" w:eastAsia="Times New Roman"/>
                <w:sz w:val="20"/>
                <w:szCs w:val="20"/>
              </w:rPr>
            </w:pPr>
          </w:p>
        </w:tc>
        <w:tc>
          <w:tcPr>
            <w:tcW w:w="3940" w:type="dxa"/>
            <w:tcBorders>
              <w:top w:val="nil"/>
              <w:left w:val="nil"/>
              <w:bottom w:val="nil"/>
              <w:right w:val="nil"/>
            </w:tcBorders>
            <w:shd w:val="clear" w:color="auto" w:fill="auto"/>
            <w:vAlign w:val="bottom"/>
          </w:tcPr>
          <w:p>
            <w:pPr>
              <w:spacing w:after="0" w:line="240" w:lineRule="auto"/>
              <w:jc w:val="center"/>
              <w:rPr>
                <w:rFonts w:ascii="Times New Roman" w:hAnsi="Times New Roman" w:eastAsia="Times New Roman"/>
                <w:sz w:val="20"/>
                <w:szCs w:val="20"/>
              </w:rPr>
            </w:pPr>
          </w:p>
        </w:tc>
        <w:tc>
          <w:tcPr>
            <w:tcW w:w="2280" w:type="dxa"/>
            <w:tcBorders>
              <w:top w:val="nil"/>
              <w:left w:val="nil"/>
              <w:bottom w:val="nil"/>
              <w:right w:val="nil"/>
            </w:tcBorders>
            <w:shd w:val="clear" w:color="auto" w:fill="auto"/>
            <w:vAlign w:val="bottom"/>
          </w:tcPr>
          <w:p>
            <w:pPr>
              <w:spacing w:after="0" w:line="240" w:lineRule="auto"/>
              <w:jc w:val="center"/>
              <w:rPr>
                <w:rFonts w:ascii="Times New Roman" w:hAnsi="Times New Roman" w:eastAsia="Times New Roman"/>
                <w:sz w:val="20"/>
                <w:szCs w:val="20"/>
              </w:rPr>
            </w:pPr>
          </w:p>
        </w:tc>
        <w:tc>
          <w:tcPr>
            <w:tcW w:w="2988" w:type="dxa"/>
            <w:tcBorders>
              <w:top w:val="nil"/>
              <w:left w:val="nil"/>
              <w:bottom w:val="nil"/>
              <w:right w:val="nil"/>
            </w:tcBorders>
            <w:shd w:val="clear" w:color="auto" w:fill="auto"/>
            <w:vAlign w:val="bottom"/>
          </w:tcPr>
          <w:p>
            <w:pPr>
              <w:spacing w:after="0" w:line="240" w:lineRule="auto"/>
              <w:jc w:val="center"/>
              <w:rPr>
                <w:rFonts w:ascii="Times New Roman" w:hAnsi="Times New Roman" w:eastAsia="Times New Roman"/>
                <w:sz w:val="20"/>
                <w:szCs w:val="20"/>
              </w:rPr>
            </w:pPr>
          </w:p>
        </w:tc>
      </w:tr>
      <w:tr>
        <w:tblPrEx>
          <w:tblCellMar>
            <w:top w:w="0" w:type="dxa"/>
            <w:left w:w="108" w:type="dxa"/>
            <w:bottom w:w="0" w:type="dxa"/>
            <w:right w:w="108" w:type="dxa"/>
          </w:tblCellMar>
        </w:tblPrEx>
        <w:trPr>
          <w:trHeight w:val="310" w:hRule="atLeast"/>
        </w:trPr>
        <w:tc>
          <w:tcPr>
            <w:tcW w:w="860" w:type="dxa"/>
            <w:tcBorders>
              <w:top w:val="single" w:color="auto" w:sz="8" w:space="0"/>
              <w:left w:val="single" w:color="auto" w:sz="8" w:space="0"/>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NO</w:t>
            </w:r>
          </w:p>
        </w:tc>
        <w:tc>
          <w:tcPr>
            <w:tcW w:w="3940" w:type="dxa"/>
            <w:tcBorders>
              <w:top w:val="single" w:color="auto" w:sz="8" w:space="0"/>
              <w:left w:val="nil"/>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PROGRAM / KEGIATAN</w:t>
            </w:r>
          </w:p>
        </w:tc>
        <w:tc>
          <w:tcPr>
            <w:tcW w:w="2840" w:type="dxa"/>
            <w:tcBorders>
              <w:top w:val="single" w:color="auto" w:sz="8" w:space="0"/>
              <w:left w:val="nil"/>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LOKASI</w:t>
            </w:r>
          </w:p>
        </w:tc>
        <w:tc>
          <w:tcPr>
            <w:tcW w:w="3940" w:type="dxa"/>
            <w:tcBorders>
              <w:top w:val="single" w:color="auto" w:sz="8" w:space="0"/>
              <w:left w:val="nil"/>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INDIKATOR KINERJA</w:t>
            </w:r>
          </w:p>
        </w:tc>
        <w:tc>
          <w:tcPr>
            <w:tcW w:w="2280" w:type="dxa"/>
            <w:tcBorders>
              <w:top w:val="single" w:color="auto" w:sz="8" w:space="0"/>
              <w:left w:val="nil"/>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VOLUME</w:t>
            </w:r>
          </w:p>
        </w:tc>
        <w:tc>
          <w:tcPr>
            <w:tcW w:w="2988" w:type="dxa"/>
            <w:tcBorders>
              <w:top w:val="single" w:color="auto" w:sz="8" w:space="0"/>
              <w:left w:val="nil"/>
              <w:bottom w:val="single" w:color="auto" w:sz="4" w:space="0"/>
              <w:right w:val="single" w:color="auto" w:sz="8"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CATATAN</w:t>
            </w:r>
          </w:p>
        </w:tc>
      </w:tr>
      <w:tr>
        <w:tblPrEx>
          <w:tblCellMar>
            <w:top w:w="0" w:type="dxa"/>
            <w:left w:w="108" w:type="dxa"/>
            <w:bottom w:w="0" w:type="dxa"/>
            <w:right w:w="108" w:type="dxa"/>
          </w:tblCellMar>
        </w:tblPrEx>
        <w:trPr>
          <w:trHeight w:val="310" w:hRule="atLeast"/>
        </w:trPr>
        <w:tc>
          <w:tcPr>
            <w:tcW w:w="860" w:type="dxa"/>
            <w:tcBorders>
              <w:top w:val="nil"/>
              <w:left w:val="single" w:color="auto" w:sz="8" w:space="0"/>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1</w:t>
            </w:r>
          </w:p>
        </w:tc>
        <w:tc>
          <w:tcPr>
            <w:tcW w:w="3940" w:type="dxa"/>
            <w:tcBorders>
              <w:top w:val="nil"/>
              <w:left w:val="nil"/>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2</w:t>
            </w:r>
          </w:p>
        </w:tc>
        <w:tc>
          <w:tcPr>
            <w:tcW w:w="2840" w:type="dxa"/>
            <w:tcBorders>
              <w:top w:val="nil"/>
              <w:left w:val="nil"/>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3</w:t>
            </w:r>
          </w:p>
        </w:tc>
        <w:tc>
          <w:tcPr>
            <w:tcW w:w="3940" w:type="dxa"/>
            <w:tcBorders>
              <w:top w:val="nil"/>
              <w:left w:val="nil"/>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4</w:t>
            </w:r>
          </w:p>
        </w:tc>
        <w:tc>
          <w:tcPr>
            <w:tcW w:w="2280" w:type="dxa"/>
            <w:tcBorders>
              <w:top w:val="nil"/>
              <w:left w:val="nil"/>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5</w:t>
            </w:r>
          </w:p>
        </w:tc>
        <w:tc>
          <w:tcPr>
            <w:tcW w:w="2988" w:type="dxa"/>
            <w:tcBorders>
              <w:top w:val="nil"/>
              <w:left w:val="nil"/>
              <w:bottom w:val="single" w:color="auto" w:sz="4" w:space="0"/>
              <w:right w:val="single" w:color="auto" w:sz="8"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24"/>
                <w:szCs w:val="24"/>
              </w:rPr>
            </w:pPr>
            <w:r>
              <w:rPr>
                <w:rFonts w:ascii="Bookman Old Style" w:hAnsi="Bookman Old Style" w:eastAsia="Times New Roman" w:cs="Calibri"/>
                <w:b/>
                <w:bCs/>
                <w:color w:val="000000"/>
                <w:sz w:val="24"/>
                <w:szCs w:val="24"/>
              </w:rPr>
              <w:t>6</w:t>
            </w:r>
          </w:p>
        </w:tc>
      </w:tr>
      <w:tr>
        <w:tblPrEx>
          <w:tblCellMar>
            <w:top w:w="0" w:type="dxa"/>
            <w:left w:w="108" w:type="dxa"/>
            <w:bottom w:w="0" w:type="dxa"/>
            <w:right w:w="108" w:type="dxa"/>
          </w:tblCellMar>
        </w:tblPrEx>
        <w:trPr>
          <w:trHeight w:val="300" w:hRule="atLeast"/>
        </w:trPr>
        <w:tc>
          <w:tcPr>
            <w:tcW w:w="860" w:type="dxa"/>
            <w:tcBorders>
              <w:top w:val="nil"/>
              <w:left w:val="single" w:color="auto" w:sz="8" w:space="0"/>
              <w:bottom w:val="nil"/>
              <w:right w:val="single" w:color="auto" w:sz="4" w:space="0"/>
            </w:tcBorders>
            <w:shd w:val="clear" w:color="auto" w:fill="auto"/>
            <w:noWrap/>
            <w:vAlign w:val="bottom"/>
          </w:tcPr>
          <w:p>
            <w:pPr>
              <w:spacing w:after="0" w:line="240" w:lineRule="auto"/>
              <w:rPr>
                <w:rFonts w:eastAsia="Times New Roman" w:cs="Calibri"/>
                <w:color w:val="000000"/>
              </w:rPr>
            </w:pPr>
            <w:r>
              <w:rPr>
                <w:rFonts w:eastAsia="Times New Roman" w:cs="Calibri"/>
                <w:color w:val="000000"/>
              </w:rPr>
              <w:t> </w:t>
            </w:r>
          </w:p>
        </w:tc>
        <w:tc>
          <w:tcPr>
            <w:tcW w:w="3940" w:type="dxa"/>
            <w:tcBorders>
              <w:top w:val="nil"/>
              <w:left w:val="nil"/>
              <w:bottom w:val="nil"/>
              <w:right w:val="nil"/>
            </w:tcBorders>
            <w:shd w:val="clear" w:color="auto" w:fill="auto"/>
            <w:noWrap/>
            <w:vAlign w:val="center"/>
          </w:tcPr>
          <w:p>
            <w:pPr>
              <w:spacing w:after="0" w:line="240" w:lineRule="auto"/>
              <w:rPr>
                <w:rFonts w:eastAsia="Times New Roman" w:cs="Calibri"/>
                <w:color w:val="000000"/>
              </w:rPr>
            </w:pPr>
          </w:p>
        </w:tc>
        <w:tc>
          <w:tcPr>
            <w:tcW w:w="2840" w:type="dxa"/>
            <w:tcBorders>
              <w:top w:val="nil"/>
              <w:left w:val="nil"/>
              <w:bottom w:val="nil"/>
              <w:right w:val="nil"/>
            </w:tcBorders>
            <w:shd w:val="clear" w:color="auto" w:fill="auto"/>
            <w:noWrap/>
            <w:vAlign w:val="center"/>
          </w:tcPr>
          <w:p>
            <w:pPr>
              <w:spacing w:after="0" w:line="240" w:lineRule="auto"/>
              <w:rPr>
                <w:rFonts w:ascii="Times New Roman" w:hAnsi="Times New Roman" w:eastAsia="Times New Roman"/>
                <w:sz w:val="20"/>
                <w:szCs w:val="20"/>
              </w:rPr>
            </w:pPr>
          </w:p>
        </w:tc>
        <w:tc>
          <w:tcPr>
            <w:tcW w:w="3940" w:type="dxa"/>
            <w:tcBorders>
              <w:top w:val="nil"/>
              <w:left w:val="nil"/>
              <w:bottom w:val="nil"/>
              <w:right w:val="nil"/>
            </w:tcBorders>
            <w:shd w:val="clear" w:color="auto" w:fill="auto"/>
            <w:noWrap/>
            <w:vAlign w:val="center"/>
          </w:tcPr>
          <w:p>
            <w:pPr>
              <w:spacing w:after="0" w:line="240" w:lineRule="auto"/>
              <w:rPr>
                <w:rFonts w:ascii="Times New Roman" w:hAnsi="Times New Roman" w:eastAsia="Times New Roman"/>
                <w:sz w:val="20"/>
                <w:szCs w:val="20"/>
              </w:rPr>
            </w:pPr>
          </w:p>
        </w:tc>
        <w:tc>
          <w:tcPr>
            <w:tcW w:w="2280" w:type="dxa"/>
            <w:tcBorders>
              <w:top w:val="nil"/>
              <w:left w:val="nil"/>
              <w:bottom w:val="nil"/>
              <w:right w:val="nil"/>
            </w:tcBorders>
            <w:shd w:val="clear" w:color="auto" w:fill="auto"/>
            <w:noWrap/>
            <w:vAlign w:val="center"/>
          </w:tcPr>
          <w:p>
            <w:pPr>
              <w:spacing w:after="0" w:line="240" w:lineRule="auto"/>
              <w:rPr>
                <w:rFonts w:ascii="Times New Roman" w:hAnsi="Times New Roman" w:eastAsia="Times New Roman"/>
                <w:sz w:val="20"/>
                <w:szCs w:val="20"/>
              </w:rPr>
            </w:pPr>
          </w:p>
        </w:tc>
        <w:tc>
          <w:tcPr>
            <w:tcW w:w="2988" w:type="dxa"/>
            <w:tcBorders>
              <w:top w:val="nil"/>
              <w:left w:val="nil"/>
              <w:bottom w:val="nil"/>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00"/>
                <w:szCs w:val="100"/>
              </w:rPr>
            </w:pPr>
            <w:r>
              <w:rPr>
                <w:rFonts w:ascii="Bookman Old Style" w:hAnsi="Bookman Old Style" w:eastAsia="Times New Roman" w:cs="Calibri"/>
                <w:b/>
                <w:bCs/>
                <w:color w:val="000000"/>
                <w:sz w:val="100"/>
                <w:szCs w:val="100"/>
              </w:rPr>
              <w:t> </w:t>
            </w:r>
          </w:p>
        </w:tc>
      </w:tr>
      <w:tr>
        <w:tblPrEx>
          <w:tblCellMar>
            <w:top w:w="0" w:type="dxa"/>
            <w:left w:w="108" w:type="dxa"/>
            <w:bottom w:w="0" w:type="dxa"/>
            <w:right w:w="108" w:type="dxa"/>
          </w:tblCellMar>
        </w:tblPrEx>
        <w:trPr>
          <w:trHeight w:val="1800" w:hRule="atLeast"/>
        </w:trPr>
        <w:tc>
          <w:tcPr>
            <w:tcW w:w="860" w:type="dxa"/>
            <w:tcBorders>
              <w:top w:val="nil"/>
              <w:left w:val="single" w:color="auto" w:sz="8" w:space="0"/>
              <w:right w:val="single" w:color="auto" w:sz="4" w:space="0"/>
            </w:tcBorders>
            <w:shd w:val="clear" w:color="auto" w:fill="auto"/>
            <w:noWrap/>
            <w:vAlign w:val="bottom"/>
          </w:tcPr>
          <w:p>
            <w:pPr>
              <w:spacing w:after="0" w:line="240" w:lineRule="auto"/>
              <w:rPr>
                <w:rFonts w:eastAsia="Times New Roman" w:cs="Calibri"/>
                <w:color w:val="000000"/>
              </w:rPr>
            </w:pPr>
            <w:r>
              <w:rPr>
                <w:rFonts w:eastAsia="Times New Roman" w:cs="Calibri"/>
                <w:color w:val="000000"/>
              </w:rPr>
              <w:t> </w:t>
            </w:r>
          </w:p>
          <w:p>
            <w:pPr>
              <w:spacing w:after="0" w:line="240" w:lineRule="auto"/>
              <w:rPr>
                <w:rFonts w:eastAsia="Times New Roman" w:cs="Calibri"/>
                <w:color w:val="000000"/>
              </w:rPr>
            </w:pPr>
            <w:r>
              <w:rPr>
                <w:rFonts w:eastAsia="Times New Roman" w:cs="Calibri"/>
                <w:color w:val="000000"/>
              </w:rPr>
              <w:t> </w:t>
            </w:r>
          </w:p>
          <w:p>
            <w:pPr>
              <w:spacing w:after="0" w:line="240" w:lineRule="auto"/>
              <w:rPr>
                <w:rFonts w:eastAsia="Times New Roman" w:cs="Calibri"/>
                <w:color w:val="000000"/>
              </w:rPr>
            </w:pPr>
            <w:r>
              <w:rPr>
                <w:rFonts w:eastAsia="Times New Roman" w:cs="Calibri"/>
                <w:color w:val="000000"/>
              </w:rPr>
              <w:t> </w:t>
            </w:r>
          </w:p>
          <w:p>
            <w:pPr>
              <w:spacing w:after="0" w:line="240" w:lineRule="auto"/>
              <w:rPr>
                <w:rFonts w:eastAsia="Times New Roman" w:cs="Calibri"/>
                <w:color w:val="000000"/>
              </w:rPr>
            </w:pPr>
            <w:r>
              <w:rPr>
                <w:rFonts w:eastAsia="Times New Roman" w:cs="Calibri"/>
                <w:color w:val="000000"/>
              </w:rPr>
              <w:t> </w:t>
            </w:r>
          </w:p>
          <w:p>
            <w:pPr>
              <w:spacing w:after="0" w:line="240" w:lineRule="auto"/>
              <w:rPr>
                <w:rFonts w:eastAsia="Times New Roman" w:cs="Calibri"/>
                <w:color w:val="000000"/>
              </w:rPr>
            </w:pPr>
            <w:r>
              <w:rPr>
                <w:rFonts w:eastAsia="Times New Roman" w:cs="Calibri"/>
                <w:color w:val="000000"/>
              </w:rPr>
              <w:t> </w:t>
            </w:r>
          </w:p>
          <w:p>
            <w:pPr>
              <w:spacing w:after="0" w:line="240" w:lineRule="auto"/>
              <w:rPr>
                <w:rFonts w:eastAsia="Times New Roman" w:cs="Calibri"/>
                <w:color w:val="000000"/>
              </w:rPr>
            </w:pPr>
            <w:r>
              <w:rPr>
                <w:rFonts w:eastAsia="Times New Roman" w:cs="Calibri"/>
                <w:color w:val="000000"/>
              </w:rPr>
              <w:t> </w:t>
            </w:r>
          </w:p>
        </w:tc>
        <w:tc>
          <w:tcPr>
            <w:tcW w:w="15988" w:type="dxa"/>
            <w:gridSpan w:val="5"/>
            <w:tcBorders>
              <w:top w:val="nil"/>
              <w:left w:val="single" w:color="auto" w:sz="4" w:space="0"/>
              <w:bottom w:val="nil"/>
              <w:right w:val="single" w:color="000000" w:sz="8" w:space="0"/>
            </w:tcBorders>
            <w:shd w:val="clear" w:color="auto" w:fill="auto"/>
            <w:vAlign w:val="center"/>
          </w:tcPr>
          <w:p>
            <w:pPr>
              <w:spacing w:after="0" w:line="240" w:lineRule="auto"/>
              <w:jc w:val="center"/>
              <w:rPr>
                <w:rFonts w:ascii="Bookman Old Style" w:hAnsi="Bookman Old Style" w:eastAsia="Times New Roman" w:cs="Calibri"/>
                <w:b/>
                <w:bCs/>
                <w:color w:val="000000"/>
                <w:sz w:val="100"/>
                <w:szCs w:val="100"/>
              </w:rPr>
            </w:pPr>
            <w:r>
              <w:rPr>
                <w:rFonts w:ascii="Bookman Old Style" w:hAnsi="Bookman Old Style" w:eastAsia="Times New Roman" w:cs="Calibri"/>
                <w:b/>
                <w:bCs/>
                <w:color w:val="000000"/>
                <w:sz w:val="100"/>
                <w:szCs w:val="100"/>
              </w:rPr>
              <w:t>N I H I L</w:t>
            </w:r>
          </w:p>
        </w:tc>
      </w:tr>
      <w:tr>
        <w:tblPrEx>
          <w:tblCellMar>
            <w:top w:w="0" w:type="dxa"/>
            <w:left w:w="108" w:type="dxa"/>
            <w:bottom w:w="0" w:type="dxa"/>
            <w:right w:w="108" w:type="dxa"/>
          </w:tblCellMar>
        </w:tblPrEx>
        <w:trPr>
          <w:trHeight w:val="300" w:hRule="atLeast"/>
        </w:trPr>
        <w:tc>
          <w:tcPr>
            <w:tcW w:w="860" w:type="dxa"/>
            <w:tcBorders>
              <w:top w:val="nil"/>
              <w:left w:val="single" w:color="auto" w:sz="8" w:space="0"/>
              <w:right w:val="single" w:color="auto" w:sz="4" w:space="0"/>
            </w:tcBorders>
            <w:shd w:val="clear" w:color="auto" w:fill="auto"/>
            <w:noWrap/>
            <w:vAlign w:val="bottom"/>
          </w:tcPr>
          <w:p>
            <w:pPr>
              <w:spacing w:after="0" w:line="240" w:lineRule="auto"/>
              <w:rPr>
                <w:rFonts w:eastAsia="Times New Roman" w:cs="Calibri"/>
                <w:color w:val="000000"/>
              </w:rPr>
            </w:pPr>
            <w:r>
              <w:rPr>
                <w:rFonts w:eastAsia="Times New Roman" w:cs="Calibri"/>
                <w:color w:val="000000"/>
              </w:rPr>
              <w:t> </w:t>
            </w:r>
          </w:p>
        </w:tc>
        <w:tc>
          <w:tcPr>
            <w:tcW w:w="3940" w:type="dxa"/>
            <w:tcBorders>
              <w:top w:val="nil"/>
              <w:left w:val="nil"/>
              <w:right w:val="nil"/>
            </w:tcBorders>
            <w:shd w:val="clear" w:color="auto" w:fill="auto"/>
            <w:noWrap/>
            <w:vAlign w:val="center"/>
          </w:tcPr>
          <w:p>
            <w:pPr>
              <w:spacing w:after="0" w:line="240" w:lineRule="auto"/>
              <w:rPr>
                <w:rFonts w:eastAsia="Times New Roman" w:cs="Calibri"/>
                <w:color w:val="000000"/>
              </w:rPr>
            </w:pPr>
          </w:p>
        </w:tc>
        <w:tc>
          <w:tcPr>
            <w:tcW w:w="2840" w:type="dxa"/>
            <w:tcBorders>
              <w:top w:val="nil"/>
              <w:left w:val="nil"/>
              <w:right w:val="nil"/>
            </w:tcBorders>
            <w:shd w:val="clear" w:color="auto" w:fill="auto"/>
            <w:noWrap/>
            <w:vAlign w:val="center"/>
          </w:tcPr>
          <w:p>
            <w:pPr>
              <w:spacing w:after="0" w:line="240" w:lineRule="auto"/>
              <w:rPr>
                <w:rFonts w:ascii="Times New Roman" w:hAnsi="Times New Roman" w:eastAsia="Times New Roman"/>
                <w:sz w:val="20"/>
                <w:szCs w:val="20"/>
              </w:rPr>
            </w:pPr>
          </w:p>
        </w:tc>
        <w:tc>
          <w:tcPr>
            <w:tcW w:w="3940" w:type="dxa"/>
            <w:tcBorders>
              <w:top w:val="nil"/>
              <w:left w:val="nil"/>
              <w:right w:val="nil"/>
            </w:tcBorders>
            <w:shd w:val="clear" w:color="auto" w:fill="auto"/>
            <w:noWrap/>
            <w:vAlign w:val="center"/>
          </w:tcPr>
          <w:p>
            <w:pPr>
              <w:spacing w:after="0" w:line="240" w:lineRule="auto"/>
              <w:rPr>
                <w:rFonts w:ascii="Times New Roman" w:hAnsi="Times New Roman" w:eastAsia="Times New Roman"/>
                <w:sz w:val="20"/>
                <w:szCs w:val="20"/>
              </w:rPr>
            </w:pPr>
          </w:p>
        </w:tc>
        <w:tc>
          <w:tcPr>
            <w:tcW w:w="2280" w:type="dxa"/>
            <w:tcBorders>
              <w:top w:val="nil"/>
              <w:left w:val="nil"/>
              <w:right w:val="nil"/>
            </w:tcBorders>
            <w:shd w:val="clear" w:color="auto" w:fill="auto"/>
            <w:noWrap/>
            <w:vAlign w:val="center"/>
          </w:tcPr>
          <w:p>
            <w:pPr>
              <w:spacing w:after="0" w:line="240" w:lineRule="auto"/>
              <w:rPr>
                <w:rFonts w:ascii="Times New Roman" w:hAnsi="Times New Roman" w:eastAsia="Times New Roman"/>
                <w:sz w:val="20"/>
                <w:szCs w:val="20"/>
              </w:rPr>
            </w:pPr>
          </w:p>
        </w:tc>
        <w:tc>
          <w:tcPr>
            <w:tcW w:w="2988" w:type="dxa"/>
            <w:tcBorders>
              <w:top w:val="nil"/>
              <w:left w:val="nil"/>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00"/>
                <w:szCs w:val="100"/>
              </w:rPr>
            </w:pPr>
            <w:r>
              <w:rPr>
                <w:rFonts w:ascii="Bookman Old Style" w:hAnsi="Bookman Old Style" w:eastAsia="Times New Roman" w:cs="Calibri"/>
                <w:b/>
                <w:bCs/>
                <w:color w:val="000000"/>
                <w:sz w:val="100"/>
                <w:szCs w:val="100"/>
              </w:rPr>
              <w:t> </w:t>
            </w:r>
          </w:p>
        </w:tc>
      </w:tr>
      <w:tr>
        <w:tblPrEx>
          <w:tblCellMar>
            <w:top w:w="0" w:type="dxa"/>
            <w:left w:w="108" w:type="dxa"/>
            <w:bottom w:w="0" w:type="dxa"/>
            <w:right w:w="108" w:type="dxa"/>
          </w:tblCellMar>
        </w:tblPrEx>
        <w:trPr>
          <w:trHeight w:val="300" w:hRule="atLeast"/>
        </w:trPr>
        <w:tc>
          <w:tcPr>
            <w:tcW w:w="860" w:type="dxa"/>
            <w:tcBorders>
              <w:top w:val="nil"/>
              <w:left w:val="single" w:color="auto" w:sz="8" w:space="0"/>
              <w:bottom w:val="single" w:color="auto" w:sz="4" w:space="0"/>
              <w:right w:val="single" w:color="auto" w:sz="4" w:space="0"/>
            </w:tcBorders>
            <w:shd w:val="clear" w:color="auto" w:fill="auto"/>
            <w:noWrap/>
            <w:vAlign w:val="bottom"/>
          </w:tcPr>
          <w:p>
            <w:pPr>
              <w:spacing w:after="0" w:line="240" w:lineRule="auto"/>
              <w:rPr>
                <w:rFonts w:eastAsia="Times New Roman" w:cs="Calibri"/>
                <w:color w:val="000000"/>
              </w:rPr>
            </w:pPr>
            <w:r>
              <w:rPr>
                <w:rFonts w:eastAsia="Times New Roman" w:cs="Calibri"/>
                <w:color w:val="000000"/>
              </w:rPr>
              <w:t> </w:t>
            </w:r>
          </w:p>
        </w:tc>
        <w:tc>
          <w:tcPr>
            <w:tcW w:w="3940" w:type="dxa"/>
            <w:tcBorders>
              <w:top w:val="nil"/>
              <w:left w:val="nil"/>
              <w:bottom w:val="single" w:color="auto" w:sz="4" w:space="0"/>
              <w:right w:val="nil"/>
            </w:tcBorders>
            <w:shd w:val="clear" w:color="auto" w:fill="auto"/>
            <w:noWrap/>
            <w:vAlign w:val="center"/>
          </w:tcPr>
          <w:p>
            <w:pPr>
              <w:spacing w:after="0" w:line="240" w:lineRule="auto"/>
              <w:rPr>
                <w:rFonts w:eastAsia="Times New Roman" w:cs="Calibri"/>
                <w:color w:val="000000"/>
              </w:rPr>
            </w:pPr>
          </w:p>
        </w:tc>
        <w:tc>
          <w:tcPr>
            <w:tcW w:w="2840" w:type="dxa"/>
            <w:tcBorders>
              <w:top w:val="nil"/>
              <w:left w:val="nil"/>
              <w:bottom w:val="single" w:color="auto" w:sz="4" w:space="0"/>
              <w:right w:val="nil"/>
            </w:tcBorders>
            <w:shd w:val="clear" w:color="auto" w:fill="auto"/>
            <w:noWrap/>
            <w:vAlign w:val="center"/>
          </w:tcPr>
          <w:p>
            <w:pPr>
              <w:spacing w:after="0" w:line="240" w:lineRule="auto"/>
              <w:rPr>
                <w:rFonts w:ascii="Times New Roman" w:hAnsi="Times New Roman" w:eastAsia="Times New Roman"/>
                <w:sz w:val="20"/>
                <w:szCs w:val="20"/>
              </w:rPr>
            </w:pPr>
          </w:p>
        </w:tc>
        <w:tc>
          <w:tcPr>
            <w:tcW w:w="3940" w:type="dxa"/>
            <w:tcBorders>
              <w:top w:val="nil"/>
              <w:left w:val="nil"/>
              <w:bottom w:val="single" w:color="auto" w:sz="4" w:space="0"/>
              <w:right w:val="nil"/>
            </w:tcBorders>
            <w:shd w:val="clear" w:color="auto" w:fill="auto"/>
            <w:noWrap/>
            <w:vAlign w:val="center"/>
          </w:tcPr>
          <w:p>
            <w:pPr>
              <w:spacing w:after="0" w:line="240" w:lineRule="auto"/>
              <w:rPr>
                <w:rFonts w:ascii="Times New Roman" w:hAnsi="Times New Roman" w:eastAsia="Times New Roman"/>
                <w:sz w:val="20"/>
                <w:szCs w:val="20"/>
              </w:rPr>
            </w:pPr>
          </w:p>
        </w:tc>
        <w:tc>
          <w:tcPr>
            <w:tcW w:w="2280" w:type="dxa"/>
            <w:tcBorders>
              <w:top w:val="nil"/>
              <w:left w:val="nil"/>
              <w:bottom w:val="single" w:color="auto" w:sz="4" w:space="0"/>
              <w:right w:val="nil"/>
            </w:tcBorders>
            <w:shd w:val="clear" w:color="auto" w:fill="auto"/>
            <w:noWrap/>
            <w:vAlign w:val="center"/>
          </w:tcPr>
          <w:p>
            <w:pPr>
              <w:spacing w:after="0" w:line="240" w:lineRule="auto"/>
              <w:rPr>
                <w:rFonts w:ascii="Times New Roman" w:hAnsi="Times New Roman" w:eastAsia="Times New Roman"/>
                <w:sz w:val="20"/>
                <w:szCs w:val="20"/>
              </w:rPr>
            </w:pPr>
          </w:p>
        </w:tc>
        <w:tc>
          <w:tcPr>
            <w:tcW w:w="2988" w:type="dxa"/>
            <w:tcBorders>
              <w:top w:val="nil"/>
              <w:left w:val="nil"/>
              <w:bottom w:val="single" w:color="auto" w:sz="4" w:space="0"/>
              <w:right w:val="single" w:color="auto" w:sz="8" w:space="0"/>
            </w:tcBorders>
            <w:shd w:val="clear" w:color="auto" w:fill="auto"/>
            <w:noWrap/>
            <w:vAlign w:val="center"/>
          </w:tcPr>
          <w:p>
            <w:pPr>
              <w:spacing w:after="0" w:line="240" w:lineRule="auto"/>
              <w:rPr>
                <w:rFonts w:ascii="Bookman Old Style" w:hAnsi="Bookman Old Style" w:eastAsia="Times New Roman" w:cs="Calibri"/>
                <w:b/>
                <w:bCs/>
                <w:color w:val="000000"/>
                <w:sz w:val="100"/>
                <w:szCs w:val="100"/>
              </w:rPr>
            </w:pPr>
            <w:r>
              <w:rPr>
                <w:rFonts w:ascii="Bookman Old Style" w:hAnsi="Bookman Old Style" w:eastAsia="Times New Roman" w:cs="Calibri"/>
                <w:b/>
                <w:bCs/>
                <w:color w:val="000000"/>
                <w:sz w:val="100"/>
                <w:szCs w:val="100"/>
              </w:rPr>
              <w:t> </w:t>
            </w:r>
          </w:p>
        </w:tc>
      </w:tr>
    </w:tbl>
    <w:p>
      <w:pPr>
        <w:rPr>
          <w:rFonts w:ascii="Bookman Old Style" w:hAnsi="Bookman Old Style" w:cs="Arial" w:eastAsiaTheme="minorHAnsi"/>
          <w:b/>
          <w:sz w:val="24"/>
          <w:szCs w:val="24"/>
          <w:lang w:val="en-GB"/>
        </w:rPr>
        <w:sectPr>
          <w:pgSz w:w="20160" w:h="12240" w:orient="landscape"/>
          <w:pgMar w:top="1555" w:right="850" w:bottom="1411" w:left="288" w:header="706" w:footer="706" w:gutter="0"/>
          <w:cols w:space="708" w:num="1"/>
          <w:titlePg/>
          <w:docGrid w:linePitch="360" w:charSpace="0"/>
        </w:sectPr>
      </w:pPr>
    </w:p>
    <w:p>
      <w:pPr>
        <w:pStyle w:val="15"/>
        <w:spacing w:line="360" w:lineRule="auto"/>
        <w:rPr>
          <w:rFonts w:ascii="Bookman Old Style" w:hAnsi="Bookman Old Style" w:cs="Arial"/>
          <w:b/>
          <w:sz w:val="24"/>
          <w:szCs w:val="24"/>
          <w:lang w:val="en-GB"/>
        </w:rPr>
      </w:pPr>
    </w:p>
    <w:p>
      <w:pPr>
        <w:pStyle w:val="15"/>
        <w:spacing w:line="360" w:lineRule="auto"/>
        <w:jc w:val="center"/>
        <w:rPr>
          <w:rFonts w:ascii="Bookman Old Style" w:hAnsi="Bookman Old Style" w:cs="Arial"/>
          <w:b/>
          <w:sz w:val="24"/>
          <w:szCs w:val="24"/>
          <w:lang w:val="en-GB"/>
        </w:rPr>
      </w:pPr>
      <w:r>
        <w:rPr>
          <w:rFonts w:ascii="Bookman Old Style" w:hAnsi="Bookman Old Style" w:cs="Arial"/>
          <w:b/>
          <w:sz w:val="24"/>
          <w:szCs w:val="24"/>
          <w:lang w:val="en-GB"/>
        </w:rPr>
        <w:t>BAB III</w:t>
      </w:r>
    </w:p>
    <w:p>
      <w:pPr>
        <w:pStyle w:val="15"/>
        <w:spacing w:line="360" w:lineRule="auto"/>
        <w:jc w:val="center"/>
        <w:rPr>
          <w:rFonts w:ascii="Bookman Old Style" w:hAnsi="Bookman Old Style" w:cs="Arial"/>
          <w:b/>
          <w:sz w:val="24"/>
          <w:szCs w:val="24"/>
        </w:rPr>
      </w:pPr>
      <w:r>
        <w:rPr>
          <w:rFonts w:ascii="Bookman Old Style" w:hAnsi="Bookman Old Style" w:cs="Arial"/>
          <w:b/>
          <w:sz w:val="24"/>
          <w:szCs w:val="24"/>
          <w:lang w:val="en-GB"/>
        </w:rPr>
        <w:t>TUJUAN DAN SASARAN</w:t>
      </w:r>
      <w:r>
        <w:rPr>
          <w:rFonts w:ascii="Bookman Old Style" w:hAnsi="Bookman Old Style" w:cs="Arial"/>
          <w:b/>
          <w:sz w:val="24"/>
          <w:szCs w:val="24"/>
        </w:rPr>
        <w:t xml:space="preserve"> BADAN PENDAPATAN DAERAH</w:t>
      </w:r>
    </w:p>
    <w:p>
      <w:pPr>
        <w:pStyle w:val="15"/>
        <w:spacing w:line="360" w:lineRule="auto"/>
        <w:jc w:val="both"/>
        <w:rPr>
          <w:rFonts w:ascii="Bookman Old Style" w:hAnsi="Bookman Old Style" w:cs="Arial"/>
          <w:sz w:val="24"/>
          <w:szCs w:val="24"/>
          <w:lang w:val="en-GB"/>
        </w:rPr>
      </w:pPr>
    </w:p>
    <w:p>
      <w:pPr>
        <w:pStyle w:val="15"/>
        <w:numPr>
          <w:ilvl w:val="1"/>
          <w:numId w:val="20"/>
        </w:numPr>
        <w:spacing w:line="360" w:lineRule="auto"/>
        <w:ind w:left="567" w:hanging="567"/>
        <w:jc w:val="both"/>
        <w:rPr>
          <w:rFonts w:ascii="Bookman Old Style" w:hAnsi="Bookman Old Style" w:cs="Arial"/>
          <w:b/>
          <w:sz w:val="24"/>
          <w:szCs w:val="24"/>
          <w:lang w:val="en-GB"/>
        </w:rPr>
      </w:pPr>
      <w:r>
        <w:rPr>
          <w:rFonts w:ascii="Bookman Old Style" w:hAnsi="Bookman Old Style" w:cs="Arial"/>
          <w:b/>
          <w:sz w:val="24"/>
          <w:szCs w:val="24"/>
          <w:lang w:val="en-GB"/>
        </w:rPr>
        <w:t>Telaahan terhadap Kebijakan Nasional</w:t>
      </w:r>
    </w:p>
    <w:p>
      <w:pPr>
        <w:autoSpaceDE w:val="0"/>
        <w:autoSpaceDN w:val="0"/>
        <w:adjustRightInd w:val="0"/>
        <w:spacing w:after="0" w:line="360" w:lineRule="auto"/>
        <w:ind w:left="567" w:firstLine="567"/>
        <w:jc w:val="both"/>
        <w:rPr>
          <w:rFonts w:ascii="Bookman Old Style" w:hAnsi="Bookman Old Style" w:cs="Arial"/>
          <w:color w:val="000000" w:themeColor="text1"/>
          <w:sz w:val="24"/>
          <w:szCs w:val="24"/>
          <w14:textFill>
            <w14:solidFill>
              <w14:schemeClr w14:val="tx1"/>
            </w14:solidFill>
          </w14:textFill>
        </w:rPr>
      </w:pPr>
      <w:r>
        <w:rPr>
          <w:rFonts w:ascii="Bookman Old Style" w:hAnsi="Bookman Old Style" w:cs="Arial"/>
          <w:bCs/>
          <w:color w:val="000000" w:themeColor="text1"/>
          <w:sz w:val="24"/>
          <w:szCs w:val="24"/>
          <w14:textFill>
            <w14:solidFill>
              <w14:schemeClr w14:val="tx1"/>
            </w14:solidFill>
          </w14:textFill>
        </w:rPr>
        <w:t xml:space="preserve">Dalam rangka mewujudkan </w:t>
      </w:r>
      <w:r>
        <w:rPr>
          <w:rFonts w:ascii="Bookman Old Style" w:hAnsi="Bookman Old Style" w:cs="Arial"/>
          <w:bCs/>
          <w:color w:val="000000" w:themeColor="text1"/>
          <w:sz w:val="24"/>
          <w:szCs w:val="24"/>
          <w:lang w:val="id-ID"/>
          <w14:textFill>
            <w14:solidFill>
              <w14:schemeClr w14:val="tx1"/>
            </w14:solidFill>
          </w14:textFill>
        </w:rPr>
        <w:t xml:space="preserve">kemandirian daerah dalam pengelolaan keuangan </w:t>
      </w:r>
      <w:r>
        <w:rPr>
          <w:rFonts w:ascii="Bookman Old Style" w:hAnsi="Bookman Old Style" w:cs="Arial"/>
          <w:bCs/>
          <w:color w:val="000000" w:themeColor="text1"/>
          <w:sz w:val="24"/>
          <w:szCs w:val="24"/>
          <w14:textFill>
            <w14:solidFill>
              <w14:schemeClr w14:val="tx1"/>
            </w14:solidFill>
          </w14:textFill>
        </w:rPr>
        <w:t xml:space="preserve">maka </w:t>
      </w:r>
      <w:r>
        <w:rPr>
          <w:rFonts w:ascii="Bookman Old Style" w:hAnsi="Bookman Old Style" w:cs="Arial"/>
          <w:bCs/>
          <w:color w:val="000000" w:themeColor="text1"/>
          <w:sz w:val="24"/>
          <w:szCs w:val="24"/>
          <w:lang w:val="id-ID"/>
          <w14:textFill>
            <w14:solidFill>
              <w14:schemeClr w14:val="tx1"/>
            </w14:solidFill>
          </w14:textFill>
        </w:rPr>
        <w:t>Badan Pendapatan Daerah</w:t>
      </w:r>
      <w:r>
        <w:rPr>
          <w:rFonts w:ascii="Bookman Old Style" w:hAnsi="Bookman Old Style" w:cs="Arial"/>
          <w:bCs/>
          <w:color w:val="000000" w:themeColor="text1"/>
          <w:sz w:val="24"/>
          <w:szCs w:val="24"/>
          <w14:textFill>
            <w14:solidFill>
              <w14:schemeClr w14:val="tx1"/>
            </w14:solidFill>
          </w14:textFill>
        </w:rPr>
        <w:t xml:space="preserve"> Kabupaten Malang mengacu kepada kebijakan nasional bagaimana tertuang dalam </w:t>
      </w:r>
      <w:r>
        <w:rPr>
          <w:rFonts w:ascii="Bookman Old Style" w:hAnsi="Bookman Old Style" w:cs="Arial"/>
          <w:color w:val="000000" w:themeColor="text1"/>
          <w:sz w:val="24"/>
          <w:szCs w:val="24"/>
          <w:lang w:val="id-ID"/>
          <w14:textFill>
            <w14:solidFill>
              <w14:schemeClr w14:val="tx1"/>
            </w14:solidFill>
          </w14:textFill>
        </w:rPr>
        <w:t>Renstra Kementerian Keuangan</w:t>
      </w:r>
      <w:r>
        <w:rPr>
          <w:rFonts w:ascii="Bookman Old Style" w:hAnsi="Bookman Old Style" w:cs="Arial"/>
          <w:color w:val="000000" w:themeColor="text1"/>
          <w:sz w:val="24"/>
          <w:szCs w:val="24"/>
          <w14:textFill>
            <w14:solidFill>
              <w14:schemeClr w14:val="tx1"/>
            </w14:solidFill>
          </w14:textFill>
        </w:rPr>
        <w:t xml:space="preserve"> Tahun 201</w:t>
      </w:r>
      <w:r>
        <w:rPr>
          <w:rFonts w:ascii="Bookman Old Style" w:hAnsi="Bookman Old Style" w:cs="Arial"/>
          <w:color w:val="000000" w:themeColor="text1"/>
          <w:sz w:val="24"/>
          <w:szCs w:val="24"/>
          <w:lang w:val="id-ID"/>
          <w14:textFill>
            <w14:solidFill>
              <w14:schemeClr w14:val="tx1"/>
            </w14:solidFill>
          </w14:textFill>
        </w:rPr>
        <w:t>5</w:t>
      </w:r>
      <w:r>
        <w:rPr>
          <w:rFonts w:ascii="Bookman Old Style" w:hAnsi="Bookman Old Style" w:cs="Arial"/>
          <w:color w:val="000000" w:themeColor="text1"/>
          <w:sz w:val="24"/>
          <w:szCs w:val="24"/>
          <w14:textFill>
            <w14:solidFill>
              <w14:schemeClr w14:val="tx1"/>
            </w14:solidFill>
          </w14:textFill>
        </w:rPr>
        <w:t>-2019</w:t>
      </w:r>
      <w:r>
        <w:rPr>
          <w:rStyle w:val="26"/>
          <w:rFonts w:ascii="Bookman Old Style" w:hAnsi="Bookman Old Style" w:cs="Arial"/>
          <w:color w:val="000000" w:themeColor="text1"/>
          <w:sz w:val="24"/>
          <w:szCs w:val="24"/>
          <w14:textFill>
            <w14:solidFill>
              <w14:schemeClr w14:val="tx1"/>
            </w14:solidFill>
          </w14:textFill>
        </w:rPr>
        <w:t xml:space="preserve"> yang mengacu pada arah kebijakan yang ditetapkan dalam Rencana Pembangunan Jangka Menengah</w:t>
      </w:r>
      <w:r>
        <w:rPr>
          <w:rStyle w:val="26"/>
          <w:rFonts w:ascii="Bookman Old Style" w:hAnsi="Bookman Old Style" w:cs="Arial"/>
          <w:color w:val="000000" w:themeColor="text1"/>
          <w:sz w:val="24"/>
          <w:szCs w:val="24"/>
          <w:lang w:val="id-ID"/>
          <w14:textFill>
            <w14:solidFill>
              <w14:schemeClr w14:val="tx1"/>
            </w14:solidFill>
          </w14:textFill>
        </w:rPr>
        <w:t xml:space="preserve"> Nasional</w:t>
      </w:r>
      <w:r>
        <w:rPr>
          <w:rStyle w:val="26"/>
          <w:rFonts w:ascii="Bookman Old Style" w:hAnsi="Bookman Old Style" w:cs="Arial"/>
          <w:color w:val="000000" w:themeColor="text1"/>
          <w:sz w:val="24"/>
          <w:szCs w:val="24"/>
          <w14:textFill>
            <w14:solidFill>
              <w14:schemeClr w14:val="tx1"/>
            </w14:solidFill>
          </w14:textFill>
        </w:rPr>
        <w:t xml:space="preserve"> 2015-2019 dan Rencana Pembangunan Jangka Panjang (RPJP) 2005–2025</w:t>
      </w:r>
      <w:r>
        <w:rPr>
          <w:rStyle w:val="26"/>
          <w:rFonts w:ascii="Bookman Old Style" w:hAnsi="Bookman Old Style" w:cs="Arial"/>
          <w:color w:val="000000" w:themeColor="text1"/>
          <w:sz w:val="24"/>
          <w:szCs w:val="24"/>
          <w:lang w:val="id-ID"/>
          <w14:textFill>
            <w14:solidFill>
              <w14:schemeClr w14:val="tx1"/>
            </w14:solidFill>
          </w14:textFill>
        </w:rPr>
        <w:t xml:space="preserve">. </w:t>
      </w:r>
    </w:p>
    <w:p>
      <w:pPr>
        <w:pStyle w:val="15"/>
        <w:spacing w:line="360" w:lineRule="auto"/>
        <w:ind w:left="567" w:firstLine="567"/>
        <w:jc w:val="both"/>
        <w:rPr>
          <w:rFonts w:ascii="Bookman Old Style" w:hAnsi="Bookman Old Style" w:cs="Arial"/>
          <w:sz w:val="24"/>
          <w:szCs w:val="24"/>
        </w:rPr>
      </w:pPr>
      <w:r>
        <w:rPr>
          <w:rFonts w:ascii="Bookman Old Style" w:hAnsi="Bookman Old Style" w:cs="Arial"/>
          <w:color w:val="000000" w:themeColor="text1"/>
          <w:sz w:val="24"/>
          <w:szCs w:val="24"/>
          <w14:textFill>
            <w14:solidFill>
              <w14:schemeClr w14:val="tx1"/>
            </w14:solidFill>
          </w14:textFill>
        </w:rPr>
        <w:t xml:space="preserve">Telaahan terhadap kebijakan nasional ditinjau dari sasaran jangka </w:t>
      </w:r>
      <w:r>
        <w:rPr>
          <w:rFonts w:ascii="Bookman Old Style" w:hAnsi="Bookman Old Style" w:cs="Arial"/>
          <w:sz w:val="24"/>
          <w:szCs w:val="24"/>
        </w:rPr>
        <w:t xml:space="preserve">menengah Renstra Kementerian Keuangan Tahun 2015-2019. Dalam dokumen Renstra Kementerian Keuangan Tahun 2015-2019, sasaran yang ingin diwujudkan adalah meningkatnya kemampuan fiskal dan kinerja keuangan daerah. Namun permasalahan pelayanan Badan Pendapatan Daerah adalah potensi dan wilayahKabupaten Malang yang sangat luas namun belum dioptimalkan dalam menggali sumber-sumber pendapatan daerah, baik dari sisi intensifikasi maupun ekstensifikasi. Sehingga </w:t>
      </w:r>
      <w:r>
        <w:rPr>
          <w:rFonts w:ascii="Bookman Old Style" w:hAnsi="Bookman Old Style" w:eastAsia="Calibri" w:cs="Arial"/>
          <w:sz w:val="24"/>
          <w:szCs w:val="24"/>
        </w:rPr>
        <w:t>p</w:t>
      </w:r>
      <w:r>
        <w:rPr>
          <w:rFonts w:ascii="Bookman Old Style" w:hAnsi="Bookman Old Style" w:cs="Arial"/>
          <w:sz w:val="24"/>
          <w:szCs w:val="24"/>
        </w:rPr>
        <w:t>erlu dilakukan pemetaan potensi pajak daerah secara optimal dan percepatan dalam pengembangan aplikasi pengelolaan pajak daerah. Perlu upaya terus menerus intensifikasi maupun ekstensifikasi untuk meningkatkan pendapatan asli daerah, optimaliasi teknologi informasi yang ada serta adanya sarana dan prasarana yang memadai untuk pengelolaan pajak daerah.</w:t>
      </w:r>
    </w:p>
    <w:p>
      <w:pPr>
        <w:pStyle w:val="15"/>
        <w:spacing w:line="360" w:lineRule="auto"/>
        <w:ind w:left="567" w:firstLine="567"/>
        <w:jc w:val="both"/>
        <w:rPr>
          <w:rFonts w:ascii="Bookman Old Style" w:hAnsi="Bookman Old Style" w:cs="Arial"/>
          <w:sz w:val="24"/>
          <w:szCs w:val="24"/>
        </w:rPr>
      </w:pPr>
      <w:r>
        <w:rPr>
          <w:rFonts w:ascii="Bookman Old Style" w:hAnsi="Bookman Old Style" w:cs="Arial"/>
          <w:sz w:val="24"/>
          <w:szCs w:val="24"/>
        </w:rPr>
        <w:t>Disamping itu, kualitas dan kuantitas sumber daya manusia dan kelembagaan/ ketatalaksanaan yang belum memadai, belum optimalnya dan terbatasnya personil dalam penggalian sumber sumber pendapatan baru dan pemungut potensi sumber sumber pendapatan dikarenakan kurang sarana kerja dan luasnya wilayah Kabupaten Malang. Untuk mengatasi hal ini diperlukan pembinaan aparatur pemungut pajak melalui bimtek</w:t>
      </w:r>
    </w:p>
    <w:p>
      <w:pPr>
        <w:pStyle w:val="15"/>
        <w:spacing w:line="360" w:lineRule="auto"/>
        <w:ind w:left="567" w:firstLine="567"/>
        <w:jc w:val="both"/>
        <w:rPr>
          <w:rFonts w:ascii="Bookman Old Style" w:hAnsi="Bookman Old Style" w:cs="Arial"/>
          <w:sz w:val="24"/>
          <w:szCs w:val="24"/>
          <w:lang w:val="en-GB"/>
        </w:rPr>
      </w:pPr>
      <w:r>
        <w:rPr>
          <w:rFonts w:ascii="Bookman Old Style" w:hAnsi="Bookman Old Style" w:cs="Arial"/>
          <w:sz w:val="24"/>
          <w:szCs w:val="24"/>
        </w:rPr>
        <w:t xml:space="preserve">Arah </w:t>
      </w:r>
      <w:r>
        <w:rPr>
          <w:rFonts w:ascii="Bookman Old Style" w:hAnsi="Bookman Old Style" w:cs="Arial"/>
          <w:sz w:val="24"/>
          <w:szCs w:val="24"/>
          <w:lang w:val="en-GB"/>
        </w:rPr>
        <w:t>k</w:t>
      </w:r>
      <w:r>
        <w:rPr>
          <w:rFonts w:ascii="Bookman Old Style" w:hAnsi="Bookman Old Style" w:cs="Arial"/>
          <w:sz w:val="24"/>
          <w:szCs w:val="24"/>
        </w:rPr>
        <w:t>ebijakan dari Badan Pendapatan Daerah adalah sebagai berikut</w:t>
      </w:r>
      <w:r>
        <w:rPr>
          <w:rFonts w:ascii="Bookman Old Style" w:hAnsi="Bookman Old Style" w:cs="Arial"/>
          <w:sz w:val="24"/>
          <w:szCs w:val="24"/>
          <w:lang w:val="en-GB"/>
        </w:rPr>
        <w:t>:</w:t>
      </w:r>
    </w:p>
    <w:p>
      <w:pPr>
        <w:pStyle w:val="15"/>
        <w:spacing w:line="360" w:lineRule="auto"/>
        <w:ind w:left="567" w:firstLine="567"/>
        <w:jc w:val="both"/>
        <w:rPr>
          <w:rFonts w:ascii="Bookman Old Style" w:hAnsi="Bookman Old Style" w:cs="Arial"/>
          <w:sz w:val="24"/>
          <w:szCs w:val="24"/>
          <w:lang w:val="en-GB"/>
        </w:rPr>
      </w:pPr>
    </w:p>
    <w:p>
      <w:pPr>
        <w:pStyle w:val="15"/>
        <w:spacing w:line="360" w:lineRule="auto"/>
        <w:ind w:left="567" w:firstLine="567"/>
        <w:jc w:val="both"/>
        <w:rPr>
          <w:rFonts w:ascii="Bookman Old Style" w:hAnsi="Bookman Old Style" w:cs="Arial"/>
          <w:sz w:val="24"/>
          <w:szCs w:val="24"/>
          <w:lang w:val="en-GB"/>
        </w:rPr>
      </w:pPr>
    </w:p>
    <w:p>
      <w:pPr>
        <w:pStyle w:val="15"/>
        <w:spacing w:line="360" w:lineRule="auto"/>
        <w:jc w:val="both"/>
        <w:rPr>
          <w:rFonts w:ascii="Bookman Old Style" w:hAnsi="Bookman Old Style" w:cs="Arial"/>
          <w:sz w:val="24"/>
          <w:szCs w:val="24"/>
          <w:lang w:val="en-GB"/>
        </w:rPr>
      </w:pPr>
    </w:p>
    <w:p>
      <w:pPr>
        <w:pStyle w:val="18"/>
        <w:numPr>
          <w:ilvl w:val="0"/>
          <w:numId w:val="21"/>
        </w:numPr>
        <w:spacing w:before="0"/>
        <w:ind w:left="993" w:hanging="426"/>
        <w:rPr>
          <w:rFonts w:ascii="Bookman Old Style" w:hAnsi="Bookman Old Style" w:cs="Arial"/>
          <w:lang w:val="id-ID"/>
        </w:rPr>
      </w:pPr>
      <w:r>
        <w:rPr>
          <w:rFonts w:ascii="Bookman Old Style" w:hAnsi="Bookman Old Style" w:cs="Arial"/>
          <w:lang w:val="id-ID"/>
        </w:rPr>
        <w:t>Mengembangkan kebijakan Pendapatan Asli Daerah (PAD) yang partisipatif, bertanggung jawab dan berkelanjutan</w:t>
      </w:r>
      <w:r>
        <w:rPr>
          <w:rFonts w:ascii="Bookman Old Style" w:hAnsi="Bookman Old Style" w:cs="Arial"/>
        </w:rPr>
        <w:t>,</w:t>
      </w:r>
      <w:r>
        <w:rPr>
          <w:rFonts w:ascii="Bookman Old Style" w:hAnsi="Bookman Old Style" w:cs="Arial"/>
          <w:lang w:val="id-ID"/>
        </w:rPr>
        <w:t xml:space="preserve">diarahkan kepada: </w:t>
      </w:r>
    </w:p>
    <w:p>
      <w:pPr>
        <w:pStyle w:val="18"/>
        <w:numPr>
          <w:ilvl w:val="2"/>
          <w:numId w:val="15"/>
        </w:numPr>
        <w:spacing w:before="0"/>
        <w:ind w:left="1276" w:hanging="283"/>
        <w:rPr>
          <w:rFonts w:ascii="Bookman Old Style" w:hAnsi="Bookman Old Style" w:cs="Arial"/>
          <w:lang w:val="id-ID"/>
        </w:rPr>
      </w:pPr>
      <w:r>
        <w:rPr>
          <w:rFonts w:ascii="Bookman Old Style" w:hAnsi="Bookman Old Style" w:cs="Arial"/>
          <w:lang w:val="id-ID"/>
        </w:rPr>
        <w:t>Perluasan dan peningkatan sumber penerimaan Pendapatan Asli Daerah dengan mengo</w:t>
      </w:r>
      <w:r>
        <w:rPr>
          <w:rFonts w:ascii="Bookman Old Style" w:hAnsi="Bookman Old Style" w:cs="Arial"/>
          <w:bCs/>
          <w:lang w:val="fr-FR"/>
        </w:rPr>
        <w:t xml:space="preserve">ptimalkan kewenangan Pemerintah Daerah dan anggaran untuk melaksanakan kebijakan mengenai </w:t>
      </w:r>
      <w:r>
        <w:rPr>
          <w:rFonts w:ascii="Bookman Old Style" w:hAnsi="Bookman Old Style" w:cs="Arial"/>
          <w:bCs/>
          <w:lang w:val="id-ID"/>
        </w:rPr>
        <w:t>intensifikasi dan ekstensifikasi pajak daerah dan retribusi daerah</w:t>
      </w:r>
      <w:r>
        <w:rPr>
          <w:rFonts w:ascii="Bookman Old Style" w:hAnsi="Bookman Old Style" w:cs="Arial"/>
          <w:bCs/>
          <w:lang w:val="fr-FR"/>
        </w:rPr>
        <w:t>.</w:t>
      </w:r>
    </w:p>
    <w:p>
      <w:pPr>
        <w:pStyle w:val="18"/>
        <w:numPr>
          <w:ilvl w:val="2"/>
          <w:numId w:val="15"/>
        </w:numPr>
        <w:spacing w:before="0"/>
        <w:ind w:left="1276" w:hanging="283"/>
        <w:rPr>
          <w:rFonts w:ascii="Bookman Old Style" w:hAnsi="Bookman Old Style" w:cs="Arial"/>
          <w:lang w:val="id-ID"/>
        </w:rPr>
      </w:pPr>
      <w:r>
        <w:rPr>
          <w:rFonts w:ascii="Bookman Old Style" w:hAnsi="Bookman Old Style" w:cs="Arial"/>
          <w:lang w:val="id-ID"/>
        </w:rPr>
        <w:t>Pengembangan/peningkatan sarana dan prasarana pelayanan kepada masyarakat;</w:t>
      </w:r>
    </w:p>
    <w:p>
      <w:pPr>
        <w:pStyle w:val="18"/>
        <w:numPr>
          <w:ilvl w:val="2"/>
          <w:numId w:val="15"/>
        </w:numPr>
        <w:spacing w:before="0"/>
        <w:ind w:left="1276" w:hanging="283"/>
        <w:rPr>
          <w:rFonts w:ascii="Bookman Old Style" w:hAnsi="Bookman Old Style" w:cs="Arial"/>
          <w:lang w:val="id-ID"/>
        </w:rPr>
      </w:pPr>
      <w:r>
        <w:rPr>
          <w:rFonts w:ascii="Bookman Old Style" w:hAnsi="Bookman Old Style" w:cs="Arial"/>
          <w:lang w:val="id-ID"/>
        </w:rPr>
        <w:t>Peningkatan jangkauan dan jaringan pelayanan dengan pemanfaatan teknologi informasi dengan m</w:t>
      </w:r>
      <w:r>
        <w:rPr>
          <w:rFonts w:ascii="Bookman Old Style" w:hAnsi="Bookman Old Style" w:cs="Arial"/>
          <w:lang w:val="fr-FR"/>
        </w:rPr>
        <w:t xml:space="preserve">embangun infrastruktur </w:t>
      </w:r>
      <w:r>
        <w:rPr>
          <w:rFonts w:ascii="Bookman Old Style" w:hAnsi="Bookman Old Style" w:cs="Arial"/>
          <w:lang w:val="id-ID"/>
        </w:rPr>
        <w:t xml:space="preserve">teknologi dan sistem informasi pendapatan daerah yang terintegrasi dan </w:t>
      </w:r>
      <w:r>
        <w:rPr>
          <w:rFonts w:ascii="Bookman Old Style" w:hAnsi="Bookman Old Style" w:cs="Arial"/>
          <w:i/>
          <w:lang w:val="id-ID"/>
        </w:rPr>
        <w:t>on line</w:t>
      </w:r>
      <w:r>
        <w:rPr>
          <w:rFonts w:ascii="Bookman Old Style" w:hAnsi="Bookman Old Style" w:cs="Arial"/>
          <w:lang w:val="id-ID"/>
        </w:rPr>
        <w:t xml:space="preserve"> dengan pihak perbankan</w:t>
      </w:r>
    </w:p>
    <w:p>
      <w:pPr>
        <w:pStyle w:val="15"/>
        <w:numPr>
          <w:ilvl w:val="2"/>
          <w:numId w:val="15"/>
        </w:numPr>
        <w:spacing w:line="360" w:lineRule="auto"/>
        <w:ind w:left="1276" w:hanging="283"/>
        <w:jc w:val="both"/>
        <w:rPr>
          <w:rFonts w:ascii="Bookman Old Style" w:hAnsi="Bookman Old Style" w:cs="Arial"/>
          <w:sz w:val="24"/>
          <w:szCs w:val="24"/>
        </w:rPr>
      </w:pPr>
      <w:r>
        <w:rPr>
          <w:rFonts w:ascii="Bookman Old Style" w:hAnsi="Bookman Old Style" w:cs="Arial"/>
          <w:sz w:val="24"/>
          <w:szCs w:val="24"/>
        </w:rPr>
        <w:t>Pengembangan sistem dan prosedur tata cara pemungutan secara transparan dan akuntabel.</w:t>
      </w: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pStyle w:val="15"/>
        <w:spacing w:line="360" w:lineRule="auto"/>
        <w:ind w:left="993" w:hanging="426"/>
        <w:jc w:val="both"/>
        <w:rPr>
          <w:rFonts w:ascii="Bookman Old Style" w:hAnsi="Bookman Old Style" w:cs="Arial"/>
          <w:sz w:val="24"/>
          <w:szCs w:val="24"/>
        </w:rPr>
      </w:pPr>
    </w:p>
    <w:p>
      <w:pPr>
        <w:spacing w:after="0" w:line="240" w:lineRule="auto"/>
        <w:rPr>
          <w:rFonts w:ascii="Times New Roman" w:hAnsi="Times New Roman" w:eastAsia="Times New Roman"/>
          <w:sz w:val="24"/>
          <w:szCs w:val="24"/>
        </w:rPr>
        <w:sectPr>
          <w:pgSz w:w="12191" w:h="18711"/>
          <w:pgMar w:top="1418" w:right="1418" w:bottom="1418" w:left="1418" w:header="706" w:footer="706" w:gutter="0"/>
          <w:cols w:space="708" w:num="1"/>
          <w:titlePg/>
          <w:docGrid w:linePitch="360" w:charSpace="0"/>
        </w:sectPr>
      </w:pPr>
    </w:p>
    <w:tbl>
      <w:tblPr>
        <w:tblStyle w:val="12"/>
        <w:tblW w:w="16162" w:type="dxa"/>
        <w:tblInd w:w="956" w:type="dxa"/>
        <w:tblLayout w:type="autofit"/>
        <w:tblCellMar>
          <w:top w:w="0" w:type="dxa"/>
          <w:left w:w="108" w:type="dxa"/>
          <w:bottom w:w="0" w:type="dxa"/>
          <w:right w:w="108" w:type="dxa"/>
        </w:tblCellMar>
      </w:tblPr>
      <w:tblGrid>
        <w:gridCol w:w="1582"/>
        <w:gridCol w:w="1966"/>
        <w:gridCol w:w="2174"/>
        <w:gridCol w:w="1459"/>
        <w:gridCol w:w="1176"/>
        <w:gridCol w:w="2135"/>
        <w:gridCol w:w="1181"/>
        <w:gridCol w:w="1181"/>
        <w:gridCol w:w="1238"/>
        <w:gridCol w:w="2070"/>
      </w:tblGrid>
      <w:tr>
        <w:tblPrEx>
          <w:tblCellMar>
            <w:top w:w="0" w:type="dxa"/>
            <w:left w:w="108" w:type="dxa"/>
            <w:bottom w:w="0" w:type="dxa"/>
            <w:right w:w="108" w:type="dxa"/>
          </w:tblCellMar>
        </w:tblPrEx>
        <w:trPr>
          <w:trHeight w:val="290" w:hRule="atLeast"/>
        </w:trPr>
        <w:tc>
          <w:tcPr>
            <w:tcW w:w="1582"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96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2174"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5951" w:type="dxa"/>
            <w:gridSpan w:val="4"/>
            <w:tcBorders>
              <w:top w:val="nil"/>
              <w:left w:val="nil"/>
              <w:bottom w:val="nil"/>
              <w:right w:val="nil"/>
            </w:tcBorders>
            <w:shd w:val="clear" w:color="auto" w:fill="auto"/>
            <w:noWrap/>
            <w:vAlign w:val="bottom"/>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Tabel 3.1 </w:t>
            </w:r>
          </w:p>
        </w:tc>
        <w:tc>
          <w:tcPr>
            <w:tcW w:w="1181" w:type="dxa"/>
            <w:tcBorders>
              <w:top w:val="nil"/>
              <w:left w:val="nil"/>
              <w:bottom w:val="nil"/>
              <w:right w:val="nil"/>
            </w:tcBorders>
            <w:shd w:val="clear" w:color="auto" w:fill="auto"/>
            <w:noWrap/>
            <w:vAlign w:val="bottom"/>
          </w:tcPr>
          <w:p>
            <w:pPr>
              <w:spacing w:after="0" w:line="240" w:lineRule="auto"/>
              <w:jc w:val="center"/>
              <w:rPr>
                <w:rFonts w:ascii="Bookman Old Style" w:hAnsi="Bookman Old Style" w:eastAsia="Times New Roman" w:cs="Calibri"/>
                <w:b/>
                <w:bCs/>
                <w:color w:val="000000"/>
                <w:sz w:val="18"/>
                <w:szCs w:val="18"/>
              </w:rPr>
            </w:pPr>
          </w:p>
        </w:tc>
        <w:tc>
          <w:tcPr>
            <w:tcW w:w="1238"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207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r>
      <w:tr>
        <w:tblPrEx>
          <w:tblCellMar>
            <w:top w:w="0" w:type="dxa"/>
            <w:left w:w="108" w:type="dxa"/>
            <w:bottom w:w="0" w:type="dxa"/>
            <w:right w:w="108" w:type="dxa"/>
          </w:tblCellMar>
        </w:tblPrEx>
        <w:trPr>
          <w:trHeight w:val="350" w:hRule="atLeast"/>
        </w:trPr>
        <w:tc>
          <w:tcPr>
            <w:tcW w:w="16162" w:type="dxa"/>
            <w:gridSpan w:val="10"/>
            <w:tcBorders>
              <w:top w:val="nil"/>
              <w:left w:val="nil"/>
              <w:bottom w:val="nil"/>
              <w:right w:val="nil"/>
            </w:tcBorders>
            <w:shd w:val="clear" w:color="auto" w:fill="auto"/>
            <w:vAlign w:val="bottom"/>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RENCANA PROGRAM DAN KEGIATAN ORGANISASI PERANGKAT DAERAH</w:t>
            </w:r>
          </w:p>
        </w:tc>
      </w:tr>
      <w:tr>
        <w:tblPrEx>
          <w:tblCellMar>
            <w:top w:w="0" w:type="dxa"/>
            <w:left w:w="108" w:type="dxa"/>
            <w:bottom w:w="0" w:type="dxa"/>
            <w:right w:w="108" w:type="dxa"/>
          </w:tblCellMar>
        </w:tblPrEx>
        <w:trPr>
          <w:trHeight w:val="350" w:hRule="atLeast"/>
        </w:trPr>
        <w:tc>
          <w:tcPr>
            <w:tcW w:w="16162" w:type="dxa"/>
            <w:gridSpan w:val="10"/>
            <w:tcBorders>
              <w:top w:val="nil"/>
              <w:left w:val="nil"/>
              <w:bottom w:val="nil"/>
              <w:right w:val="nil"/>
            </w:tcBorders>
            <w:shd w:val="clear" w:color="auto" w:fill="auto"/>
            <w:vAlign w:val="bottom"/>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TAHUN 2020 DAN PRAKIRAAN MAJU TAHUN 2021</w:t>
            </w:r>
          </w:p>
        </w:tc>
      </w:tr>
      <w:tr>
        <w:tblPrEx>
          <w:tblCellMar>
            <w:top w:w="0" w:type="dxa"/>
            <w:left w:w="108" w:type="dxa"/>
            <w:bottom w:w="0" w:type="dxa"/>
            <w:right w:w="108" w:type="dxa"/>
          </w:tblCellMar>
        </w:tblPrEx>
        <w:trPr>
          <w:trHeight w:val="350" w:hRule="atLeast"/>
        </w:trPr>
        <w:tc>
          <w:tcPr>
            <w:tcW w:w="16162" w:type="dxa"/>
            <w:gridSpan w:val="10"/>
            <w:tcBorders>
              <w:top w:val="nil"/>
              <w:left w:val="nil"/>
              <w:bottom w:val="nil"/>
              <w:right w:val="nil"/>
            </w:tcBorders>
            <w:shd w:val="clear" w:color="auto" w:fill="auto"/>
            <w:vAlign w:val="bottom"/>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KABUPATEN MALANG</w:t>
            </w:r>
          </w:p>
        </w:tc>
      </w:tr>
      <w:tr>
        <w:tblPrEx>
          <w:tblCellMar>
            <w:top w:w="0" w:type="dxa"/>
            <w:left w:w="108" w:type="dxa"/>
            <w:bottom w:w="0" w:type="dxa"/>
            <w:right w:w="108" w:type="dxa"/>
          </w:tblCellMar>
        </w:tblPrEx>
        <w:trPr>
          <w:trHeight w:val="260" w:hRule="atLeast"/>
        </w:trPr>
        <w:tc>
          <w:tcPr>
            <w:tcW w:w="1582" w:type="dxa"/>
            <w:tcBorders>
              <w:top w:val="nil"/>
              <w:left w:val="nil"/>
              <w:bottom w:val="nil"/>
              <w:right w:val="nil"/>
            </w:tcBorders>
            <w:shd w:val="clear" w:color="auto" w:fill="auto"/>
            <w:noWrap/>
            <w:vAlign w:val="bottom"/>
          </w:tcPr>
          <w:p>
            <w:pPr>
              <w:spacing w:after="0" w:line="240" w:lineRule="auto"/>
              <w:jc w:val="center"/>
              <w:rPr>
                <w:rFonts w:ascii="Bookman Old Style" w:hAnsi="Bookman Old Style" w:eastAsia="Times New Roman" w:cs="Calibri"/>
                <w:b/>
                <w:bCs/>
                <w:color w:val="000000"/>
                <w:sz w:val="18"/>
                <w:szCs w:val="18"/>
              </w:rPr>
            </w:pPr>
          </w:p>
        </w:tc>
        <w:tc>
          <w:tcPr>
            <w:tcW w:w="196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2174"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459"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17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2135"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181"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181"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238"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207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r>
      <w:tr>
        <w:tblPrEx>
          <w:tblCellMar>
            <w:top w:w="0" w:type="dxa"/>
            <w:left w:w="108" w:type="dxa"/>
            <w:bottom w:w="0" w:type="dxa"/>
            <w:right w:w="108" w:type="dxa"/>
          </w:tblCellMar>
        </w:tblPrEx>
        <w:trPr>
          <w:trHeight w:val="260" w:hRule="atLeast"/>
        </w:trPr>
        <w:tc>
          <w:tcPr>
            <w:tcW w:w="1582" w:type="dxa"/>
            <w:vMerge w:val="restart"/>
            <w:tcBorders>
              <w:top w:val="single" w:color="111111" w:sz="4" w:space="0"/>
              <w:left w:val="single" w:color="111111" w:sz="4" w:space="0"/>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KODE</w:t>
            </w:r>
          </w:p>
        </w:tc>
        <w:tc>
          <w:tcPr>
            <w:tcW w:w="1966" w:type="dxa"/>
            <w:vMerge w:val="restart"/>
            <w:tcBorders>
              <w:top w:val="single" w:color="111111" w:sz="4" w:space="0"/>
              <w:left w:val="single" w:color="111111" w:sz="4" w:space="0"/>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URUSAN PEMERINTAHAN DAERAH DAN PROGRAM / KEGIATAN</w:t>
            </w:r>
          </w:p>
        </w:tc>
        <w:tc>
          <w:tcPr>
            <w:tcW w:w="2174" w:type="dxa"/>
            <w:vMerge w:val="restart"/>
            <w:tcBorders>
              <w:top w:val="single" w:color="111111" w:sz="4" w:space="0"/>
              <w:left w:val="single" w:color="111111" w:sz="4" w:space="0"/>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INDIKATOR KINERJA PROGRAM (OUTCOME) DAN KEGIATAN (OUTPUT)</w:t>
            </w:r>
          </w:p>
        </w:tc>
        <w:tc>
          <w:tcPr>
            <w:tcW w:w="5951" w:type="dxa"/>
            <w:gridSpan w:val="4"/>
            <w:tcBorders>
              <w:top w:val="single" w:color="111111" w:sz="4" w:space="0"/>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RENCANA TAHUN 2020</w:t>
            </w:r>
          </w:p>
        </w:tc>
        <w:tc>
          <w:tcPr>
            <w:tcW w:w="1181" w:type="dxa"/>
            <w:vMerge w:val="restart"/>
            <w:tcBorders>
              <w:top w:val="single" w:color="111111" w:sz="4" w:space="0"/>
              <w:left w:val="single" w:color="111111" w:sz="4" w:space="0"/>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CATATAN PENTING</w:t>
            </w:r>
          </w:p>
        </w:tc>
        <w:tc>
          <w:tcPr>
            <w:tcW w:w="3308" w:type="dxa"/>
            <w:gridSpan w:val="2"/>
            <w:tcBorders>
              <w:top w:val="single" w:color="111111" w:sz="4" w:space="0"/>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PRAKIRAAN MAJU TAHUN 2021</w:t>
            </w:r>
          </w:p>
        </w:tc>
      </w:tr>
      <w:tr>
        <w:tblPrEx>
          <w:tblCellMar>
            <w:top w:w="0" w:type="dxa"/>
            <w:left w:w="108" w:type="dxa"/>
            <w:bottom w:w="0" w:type="dxa"/>
            <w:right w:w="108" w:type="dxa"/>
          </w:tblCellMar>
        </w:tblPrEx>
        <w:trPr>
          <w:trHeight w:val="1110" w:hRule="atLeast"/>
        </w:trPr>
        <w:tc>
          <w:tcPr>
            <w:tcW w:w="1582" w:type="dxa"/>
            <w:vMerge w:val="continue"/>
            <w:tcBorders>
              <w:top w:val="single" w:color="111111" w:sz="4" w:space="0"/>
              <w:left w:val="single" w:color="111111" w:sz="4" w:space="0"/>
              <w:bottom w:val="single" w:color="111111" w:sz="4" w:space="0"/>
              <w:right w:val="single" w:color="111111"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966" w:type="dxa"/>
            <w:vMerge w:val="continue"/>
            <w:tcBorders>
              <w:top w:val="single" w:color="111111" w:sz="4" w:space="0"/>
              <w:left w:val="single" w:color="111111" w:sz="4" w:space="0"/>
              <w:bottom w:val="single" w:color="111111" w:sz="4" w:space="0"/>
              <w:right w:val="single" w:color="111111" w:sz="4" w:space="0"/>
            </w:tcBorders>
            <w:vAlign w:val="center"/>
          </w:tcPr>
          <w:p>
            <w:pPr>
              <w:spacing w:after="0" w:line="240" w:lineRule="auto"/>
              <w:rPr>
                <w:rFonts w:ascii="Bookman Old Style" w:hAnsi="Bookman Old Style" w:eastAsia="Times New Roman" w:cs="Calibri"/>
                <w:b/>
                <w:bCs/>
                <w:color w:val="000000"/>
                <w:sz w:val="18"/>
                <w:szCs w:val="18"/>
              </w:rPr>
            </w:pPr>
          </w:p>
        </w:tc>
        <w:tc>
          <w:tcPr>
            <w:tcW w:w="2174" w:type="dxa"/>
            <w:vMerge w:val="continue"/>
            <w:tcBorders>
              <w:top w:val="single" w:color="111111" w:sz="4" w:space="0"/>
              <w:left w:val="single" w:color="111111" w:sz="4" w:space="0"/>
              <w:bottom w:val="single" w:color="111111" w:sz="4" w:space="0"/>
              <w:right w:val="single" w:color="111111"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459"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LOKASI</w:t>
            </w:r>
          </w:p>
        </w:tc>
        <w:tc>
          <w:tcPr>
            <w:tcW w:w="1176"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TARGET CAPAIAN KINERJA</w:t>
            </w:r>
          </w:p>
        </w:tc>
        <w:tc>
          <w:tcPr>
            <w:tcW w:w="2135"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KEBUTUHAN DANA/PAGU INDIKATIF</w:t>
            </w:r>
          </w:p>
        </w:tc>
        <w:tc>
          <w:tcPr>
            <w:tcW w:w="1181"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SUMBER DANA</w:t>
            </w:r>
          </w:p>
        </w:tc>
        <w:tc>
          <w:tcPr>
            <w:tcW w:w="1181" w:type="dxa"/>
            <w:vMerge w:val="continue"/>
            <w:tcBorders>
              <w:top w:val="single" w:color="111111" w:sz="4" w:space="0"/>
              <w:left w:val="single" w:color="111111" w:sz="4" w:space="0"/>
              <w:bottom w:val="single" w:color="111111" w:sz="4" w:space="0"/>
              <w:right w:val="single" w:color="111111"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238"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TARGET CAPAIAN KINERJA</w:t>
            </w:r>
          </w:p>
        </w:tc>
        <w:tc>
          <w:tcPr>
            <w:tcW w:w="2070"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KEBUTUHAN DANA/PAGU INDIKATIF</w:t>
            </w:r>
          </w:p>
        </w:tc>
      </w:tr>
      <w:tr>
        <w:tblPrEx>
          <w:tblCellMar>
            <w:top w:w="0" w:type="dxa"/>
            <w:left w:w="108" w:type="dxa"/>
            <w:bottom w:w="0" w:type="dxa"/>
            <w:right w:w="108" w:type="dxa"/>
          </w:tblCellMar>
        </w:tblPrEx>
        <w:trPr>
          <w:trHeight w:val="260" w:hRule="atLeast"/>
        </w:trPr>
        <w:tc>
          <w:tcPr>
            <w:tcW w:w="1582" w:type="dxa"/>
            <w:tcBorders>
              <w:top w:val="nil"/>
              <w:left w:val="single" w:color="111111" w:sz="4" w:space="0"/>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w:t>
            </w:r>
          </w:p>
        </w:tc>
        <w:tc>
          <w:tcPr>
            <w:tcW w:w="1966"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2174"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w:t>
            </w:r>
          </w:p>
        </w:tc>
        <w:tc>
          <w:tcPr>
            <w:tcW w:w="1459"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1176"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w:t>
            </w:r>
          </w:p>
        </w:tc>
        <w:tc>
          <w:tcPr>
            <w:tcW w:w="2135"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w:t>
            </w:r>
          </w:p>
        </w:tc>
        <w:tc>
          <w:tcPr>
            <w:tcW w:w="1181"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7</w:t>
            </w:r>
          </w:p>
        </w:tc>
        <w:tc>
          <w:tcPr>
            <w:tcW w:w="1181"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8</w:t>
            </w:r>
          </w:p>
        </w:tc>
        <w:tc>
          <w:tcPr>
            <w:tcW w:w="1238"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9</w:t>
            </w:r>
          </w:p>
        </w:tc>
        <w:tc>
          <w:tcPr>
            <w:tcW w:w="2070" w:type="dxa"/>
            <w:tcBorders>
              <w:top w:val="nil"/>
              <w:left w:val="nil"/>
              <w:bottom w:val="single" w:color="111111" w:sz="4" w:space="0"/>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w:t>
            </w:r>
          </w:p>
        </w:tc>
      </w:tr>
      <w:tr>
        <w:tblPrEx>
          <w:tblCellMar>
            <w:top w:w="0" w:type="dxa"/>
            <w:left w:w="108" w:type="dxa"/>
            <w:bottom w:w="0" w:type="dxa"/>
            <w:right w:w="108" w:type="dxa"/>
          </w:tblCellMar>
        </w:tblPrEx>
        <w:trPr>
          <w:trHeight w:val="260" w:hRule="atLeast"/>
        </w:trPr>
        <w:tc>
          <w:tcPr>
            <w:tcW w:w="1582" w:type="dxa"/>
            <w:tcBorders>
              <w:top w:val="nil"/>
              <w:left w:val="single" w:color="111111" w:sz="4" w:space="0"/>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6775" w:type="dxa"/>
            <w:gridSpan w:val="4"/>
            <w:tcBorders>
              <w:top w:val="single" w:color="111111" w:sz="4" w:space="0"/>
              <w:left w:val="nil"/>
              <w:bottom w:val="single" w:color="111111" w:sz="4" w:space="0"/>
              <w:right w:val="single" w:color="111111" w:sz="4" w:space="0"/>
            </w:tcBorders>
            <w:shd w:val="clear" w:color="000000" w:fill="FFFFFF"/>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2135" w:type="dxa"/>
            <w:tcBorders>
              <w:top w:val="nil"/>
              <w:left w:val="nil"/>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27.806.538.882,00</w:t>
            </w:r>
          </w:p>
        </w:tc>
        <w:tc>
          <w:tcPr>
            <w:tcW w:w="3600" w:type="dxa"/>
            <w:gridSpan w:val="3"/>
            <w:tcBorders>
              <w:top w:val="single" w:color="111111" w:sz="4" w:space="0"/>
              <w:left w:val="nil"/>
              <w:bottom w:val="single" w:color="111111" w:sz="4" w:space="0"/>
              <w:right w:val="single" w:color="111111"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070" w:type="dxa"/>
            <w:tcBorders>
              <w:top w:val="nil"/>
              <w:left w:val="nil"/>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28.208.630.712,00</w:t>
            </w:r>
          </w:p>
        </w:tc>
      </w:tr>
      <w:tr>
        <w:tblPrEx>
          <w:tblCellMar>
            <w:top w:w="0" w:type="dxa"/>
            <w:left w:w="108" w:type="dxa"/>
            <w:bottom w:w="0" w:type="dxa"/>
            <w:right w:w="108" w:type="dxa"/>
          </w:tblCellMar>
        </w:tblPrEx>
        <w:trPr>
          <w:trHeight w:val="260" w:hRule="atLeast"/>
        </w:trPr>
        <w:tc>
          <w:tcPr>
            <w:tcW w:w="1582" w:type="dxa"/>
            <w:tcBorders>
              <w:top w:val="nil"/>
              <w:left w:val="single" w:color="111111" w:sz="4" w:space="0"/>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6775" w:type="dxa"/>
            <w:gridSpan w:val="4"/>
            <w:tcBorders>
              <w:top w:val="single" w:color="111111" w:sz="4" w:space="0"/>
              <w:left w:val="nil"/>
              <w:bottom w:val="single" w:color="111111" w:sz="4" w:space="0"/>
              <w:right w:val="single" w:color="111111" w:sz="4" w:space="0"/>
            </w:tcBorders>
            <w:shd w:val="clear" w:color="000000" w:fill="FFFFFF"/>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FUNGSI PENUNJANG URUSAN PEMERINTAHAN</w:t>
            </w:r>
          </w:p>
        </w:tc>
        <w:tc>
          <w:tcPr>
            <w:tcW w:w="2135" w:type="dxa"/>
            <w:tcBorders>
              <w:top w:val="nil"/>
              <w:left w:val="nil"/>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27.806.538.882,00</w:t>
            </w:r>
          </w:p>
        </w:tc>
        <w:tc>
          <w:tcPr>
            <w:tcW w:w="3600" w:type="dxa"/>
            <w:gridSpan w:val="3"/>
            <w:tcBorders>
              <w:top w:val="single" w:color="111111" w:sz="4" w:space="0"/>
              <w:left w:val="nil"/>
              <w:bottom w:val="single" w:color="111111" w:sz="4" w:space="0"/>
              <w:right w:val="single" w:color="111111"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070" w:type="dxa"/>
            <w:tcBorders>
              <w:top w:val="nil"/>
              <w:left w:val="nil"/>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28.208.630.712,00</w:t>
            </w:r>
          </w:p>
        </w:tc>
      </w:tr>
      <w:tr>
        <w:tblPrEx>
          <w:tblCellMar>
            <w:top w:w="0" w:type="dxa"/>
            <w:left w:w="108" w:type="dxa"/>
            <w:bottom w:w="0" w:type="dxa"/>
            <w:right w:w="108" w:type="dxa"/>
          </w:tblCellMar>
        </w:tblPrEx>
        <w:trPr>
          <w:trHeight w:val="260" w:hRule="atLeast"/>
        </w:trPr>
        <w:tc>
          <w:tcPr>
            <w:tcW w:w="1582" w:type="dxa"/>
            <w:tcBorders>
              <w:top w:val="nil"/>
              <w:left w:val="single" w:color="111111" w:sz="4" w:space="0"/>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w:t>
            </w:r>
          </w:p>
        </w:tc>
        <w:tc>
          <w:tcPr>
            <w:tcW w:w="6775" w:type="dxa"/>
            <w:gridSpan w:val="4"/>
            <w:tcBorders>
              <w:top w:val="single" w:color="111111" w:sz="4" w:space="0"/>
              <w:left w:val="nil"/>
              <w:bottom w:val="single" w:color="111111" w:sz="4" w:space="0"/>
              <w:right w:val="single" w:color="111111" w:sz="4" w:space="0"/>
            </w:tcBorders>
            <w:shd w:val="clear" w:color="000000" w:fill="FFFFFF"/>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KEUANGAN</w:t>
            </w:r>
          </w:p>
        </w:tc>
        <w:tc>
          <w:tcPr>
            <w:tcW w:w="2135" w:type="dxa"/>
            <w:tcBorders>
              <w:top w:val="nil"/>
              <w:left w:val="nil"/>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27.806.538.882,00</w:t>
            </w:r>
          </w:p>
        </w:tc>
        <w:tc>
          <w:tcPr>
            <w:tcW w:w="3600" w:type="dxa"/>
            <w:gridSpan w:val="3"/>
            <w:tcBorders>
              <w:top w:val="single" w:color="111111" w:sz="4" w:space="0"/>
              <w:left w:val="nil"/>
              <w:bottom w:val="single" w:color="111111" w:sz="4" w:space="0"/>
              <w:right w:val="single" w:color="111111" w:sz="4" w:space="0"/>
            </w:tcBorders>
            <w:shd w:val="clear" w:color="000000" w:fill="FFFFFF"/>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070" w:type="dxa"/>
            <w:tcBorders>
              <w:top w:val="nil"/>
              <w:left w:val="nil"/>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28.208.630.712,00</w:t>
            </w:r>
          </w:p>
        </w:tc>
      </w:tr>
      <w:tr>
        <w:tblPrEx>
          <w:tblCellMar>
            <w:top w:w="0" w:type="dxa"/>
            <w:left w:w="108" w:type="dxa"/>
            <w:bottom w:w="0" w:type="dxa"/>
            <w:right w:w="108" w:type="dxa"/>
          </w:tblCellMar>
        </w:tblPrEx>
        <w:trPr>
          <w:trHeight w:val="520" w:hRule="atLeast"/>
        </w:trPr>
        <w:tc>
          <w:tcPr>
            <w:tcW w:w="1582" w:type="dxa"/>
            <w:tcBorders>
              <w:top w:val="nil"/>
              <w:left w:val="single" w:color="111111" w:sz="4" w:space="0"/>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4.402.29</w:t>
            </w:r>
          </w:p>
        </w:tc>
        <w:tc>
          <w:tcPr>
            <w:tcW w:w="6775" w:type="dxa"/>
            <w:gridSpan w:val="4"/>
            <w:tcBorders>
              <w:top w:val="single" w:color="111111" w:sz="4" w:space="0"/>
              <w:left w:val="nil"/>
              <w:bottom w:val="single" w:color="111111" w:sz="4" w:space="0"/>
              <w:right w:val="single" w:color="111111" w:sz="4" w:space="0"/>
            </w:tcBorders>
            <w:shd w:val="clear" w:color="000000" w:fill="FFFFFF"/>
            <w:vAlign w:val="bottom"/>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w:t>
            </w:r>
          </w:p>
        </w:tc>
        <w:tc>
          <w:tcPr>
            <w:tcW w:w="2135" w:type="dxa"/>
            <w:tcBorders>
              <w:top w:val="nil"/>
              <w:left w:val="nil"/>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27.806.538.882,00</w:t>
            </w:r>
          </w:p>
        </w:tc>
        <w:tc>
          <w:tcPr>
            <w:tcW w:w="3600" w:type="dxa"/>
            <w:gridSpan w:val="3"/>
            <w:tcBorders>
              <w:top w:val="single" w:color="111111" w:sz="4" w:space="0"/>
              <w:left w:val="nil"/>
              <w:bottom w:val="single" w:color="111111" w:sz="4" w:space="0"/>
              <w:right w:val="single" w:color="111111" w:sz="4" w:space="0"/>
            </w:tcBorders>
            <w:shd w:val="clear" w:color="000000" w:fill="FFFFFF"/>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070" w:type="dxa"/>
            <w:tcBorders>
              <w:top w:val="nil"/>
              <w:left w:val="nil"/>
              <w:bottom w:val="single" w:color="111111" w:sz="4" w:space="0"/>
              <w:right w:val="single" w:color="111111" w:sz="4" w:space="0"/>
            </w:tcBorders>
            <w:shd w:val="clear" w:color="000000" w:fill="FFFFFF"/>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28.208.630.712,00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4.402.29.01</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ADMINISTRASI PERKANTORAN</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Pemenuhan Operasional Perkantoran (%)</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8.940.677.211,00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81"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8.940.677.211,00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4.402.29.01.01</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Surat Menyurat</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registrasi surat masuk dan surat keluar (buah)</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8500 buah</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119.940.000,00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8500 buah</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119.940.000,00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4.402.29.01.02</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Komunikasi, Sumber Daya Air dan Listrik</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Listrik, Air Minum/Air Bersih, Telekomunikasi dan Internet (Bulan)</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173.160.000,00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173.160.000,00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4.402.29.01.03</w:t>
            </w:r>
          </w:p>
        </w:tc>
        <w:tc>
          <w:tcPr>
            <w:tcW w:w="1966"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Barang Cetakan dan Penggandaan</w:t>
            </w:r>
          </w:p>
        </w:tc>
        <w:tc>
          <w:tcPr>
            <w:tcW w:w="2174"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barang cetakan yang disediakan (Jenis)</w:t>
            </w:r>
          </w:p>
        </w:tc>
        <w:tc>
          <w:tcPr>
            <w:tcW w:w="1459"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 jenis</w:t>
            </w:r>
          </w:p>
        </w:tc>
        <w:tc>
          <w:tcPr>
            <w:tcW w:w="2135"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325.992.800,00</w:t>
            </w:r>
          </w:p>
        </w:tc>
        <w:tc>
          <w:tcPr>
            <w:tcW w:w="1181"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 jenis</w:t>
            </w:r>
          </w:p>
        </w:tc>
        <w:tc>
          <w:tcPr>
            <w:tcW w:w="2070"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325.992.800,00</w:t>
            </w:r>
          </w:p>
        </w:tc>
      </w:tr>
      <w:tr>
        <w:tblPrEx>
          <w:tblCellMar>
            <w:top w:w="0" w:type="dxa"/>
            <w:left w:w="108" w:type="dxa"/>
            <w:bottom w:w="0" w:type="dxa"/>
            <w:right w:w="108" w:type="dxa"/>
          </w:tblCellMar>
        </w:tblPrEx>
        <w:trPr>
          <w:trHeight w:val="840" w:hRule="atLeast"/>
        </w:trPr>
        <w:tc>
          <w:tcPr>
            <w:tcW w:w="1582" w:type="dxa"/>
            <w:tcBorders>
              <w:top w:val="single" w:color="auto" w:sz="4" w:space="0"/>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4.402.29.01.04</w:t>
            </w:r>
          </w:p>
        </w:tc>
        <w:tc>
          <w:tcPr>
            <w:tcW w:w="1966"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Makanan dan Minuman</w:t>
            </w:r>
          </w:p>
        </w:tc>
        <w:tc>
          <w:tcPr>
            <w:tcW w:w="2174"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makanan dan minuman harian Pegawai, Rapat, dan tamu yang disediakan (HOK)</w:t>
            </w:r>
          </w:p>
        </w:tc>
        <w:tc>
          <w:tcPr>
            <w:tcW w:w="1459"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12585 HOK</w:t>
            </w:r>
          </w:p>
        </w:tc>
        <w:tc>
          <w:tcPr>
            <w:tcW w:w="2135"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210.097.500,00</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12585 HOK</w:t>
            </w:r>
          </w:p>
        </w:tc>
        <w:tc>
          <w:tcPr>
            <w:tcW w:w="2070"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210.097.500,00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4.402.29.01.05</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Administrasi Keuangan</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pejabat pengelola administrasi keuangan (OB)</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7032 OB</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6.709.356.781,00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7032 OB</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6.709.356.781,00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4.402.29.01.06</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Rapat-Rapat Kordinasi dan Konsultasi Ke Dalam Daerah</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dalam daerah (HOK)</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768 HOK</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250.220.000,00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768 HOK</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250.220.000,00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4.402.29.01.07</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Bahan Logistik Kantor</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logistik kantor yang disediakan (jenis)</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100.861.000,00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jenis</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100.861.000,00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4.402.29.01.08</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Alat Tulis Kantor</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alat tulis kantor yang disediakan (Jenis)</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 jenis</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400.077.000,00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 jenis</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400.077.000,00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4.402.29.01.09</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Rapat-Rapat Kordinasi dan Konsultasi Ke Luar Daerah</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luar daerah (HOK)</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568 HOK</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434.005.330,00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568 HOK</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434.005.330,00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4.402.29.01.10</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Bahan Bacaan dan Peraturan Perundang-Undangan</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Bacaan dan Peraturan Perundang-Undangan yang disediakan (jenis)</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126.720.000,00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126.720.000,00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4.402.29.01.11</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Komponen Instalasi Listrik/Penerangan Bangunan Kantor</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komponen alat-alat listrik dan elektronik (Jenis)</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 jenis</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90.246.800,00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 jenis</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90.246.800,00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4.402.29.02</w:t>
            </w:r>
          </w:p>
        </w:tc>
        <w:tc>
          <w:tcPr>
            <w:tcW w:w="1966"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SARANA DAN PRASARANA APARATUR</w:t>
            </w:r>
          </w:p>
        </w:tc>
        <w:tc>
          <w:tcPr>
            <w:tcW w:w="2174"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Pemenuhan Sarana dan Prasarana Penunjang Aparatur (%)</w:t>
            </w:r>
          </w:p>
        </w:tc>
        <w:tc>
          <w:tcPr>
            <w:tcW w:w="1459"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76" w:type="dxa"/>
            <w:tcBorders>
              <w:top w:val="nil"/>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135"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1.525.900.000,00</w:t>
            </w:r>
          </w:p>
        </w:tc>
        <w:tc>
          <w:tcPr>
            <w:tcW w:w="1181"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81"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38" w:type="dxa"/>
            <w:tcBorders>
              <w:top w:val="nil"/>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070"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1.927.991.830,00</w:t>
            </w:r>
          </w:p>
        </w:tc>
      </w:tr>
      <w:tr>
        <w:tblPrEx>
          <w:tblCellMar>
            <w:top w:w="0" w:type="dxa"/>
            <w:left w:w="108" w:type="dxa"/>
            <w:bottom w:w="0" w:type="dxa"/>
            <w:right w:w="108" w:type="dxa"/>
          </w:tblCellMar>
        </w:tblPrEx>
        <w:trPr>
          <w:trHeight w:val="840" w:hRule="atLeast"/>
        </w:trPr>
        <w:tc>
          <w:tcPr>
            <w:tcW w:w="1582" w:type="dxa"/>
            <w:tcBorders>
              <w:top w:val="single" w:color="auto" w:sz="4" w:space="0"/>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4.402.29.02.01</w:t>
            </w:r>
          </w:p>
        </w:tc>
        <w:tc>
          <w:tcPr>
            <w:tcW w:w="1966"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Rutin/Berkala Gedung Kantor</w:t>
            </w:r>
          </w:p>
        </w:tc>
        <w:tc>
          <w:tcPr>
            <w:tcW w:w="2174"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gedung kantor yang dipelihara Rutin/Berkala ( jenis)</w:t>
            </w:r>
          </w:p>
        </w:tc>
        <w:tc>
          <w:tcPr>
            <w:tcW w:w="1459"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 jenis</w:t>
            </w:r>
          </w:p>
        </w:tc>
        <w:tc>
          <w:tcPr>
            <w:tcW w:w="2135"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446.720.694,00</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jenis</w:t>
            </w:r>
          </w:p>
        </w:tc>
        <w:tc>
          <w:tcPr>
            <w:tcW w:w="2070"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225.000.000,00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4.402.29.02.02</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Rutin/Berkala Kendaraan Dinas/Operasional</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roda empat dan kendaraan roda dua yang dipelihara rutin dan berkala (Unit)</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309 unit</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404.539.000,00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309 unit</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404.539.000,00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4.402.29.02.03</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Rutin/Berkala Peralatan Gedung Kantor</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Kantoryang dipelihara Rutin/Berkala (jenis)</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jenis</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55.673.000,00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jenis</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55.673.000,00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4.402.29.02.04</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Rutin/Berkala Mebeleur</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Mebeleur yang dipelihara Rutin/Berkala (jenis)</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jenis</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27.215.000,00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jenis</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27.215.000,00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4.402.29.02.05</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Peralatan Gedung Kantor</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 yang diadakan ( jenis)</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jenis</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253.458.500,00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jenis</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253.458.500,00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4.402.29.02.06</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Kendaraan Dinas/Operasional</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Dinas/Operasional Roda 2 Baru yang diadakan (Unit)</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unit</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78.279.306,00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Tahun 2021 pengadaan kendaraan roda 4</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unit</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702.091.830,00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4.402.29.02.07</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Perlengkapan Gedung Kantor</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Perlengkapan Gedung Kantor yang diadakan( jenis)</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 jenis</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260.014.500,00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 jenis</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260.014.500,00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4.402.29.03</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DISIPLIN APARATUR</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Penunjang Kerja Aparatur (%)</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173.250.000,00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81"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173.250.000,00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4.402.29.03.02</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Pakaian Dinas Beserta Perlengkapannya</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Dinas (Stel)</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350 stel</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173.250.000,00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350 stel</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173.250.000,00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4.402.29.04</w:t>
            </w:r>
          </w:p>
        </w:tc>
        <w:tc>
          <w:tcPr>
            <w:tcW w:w="1966"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KAPASITAS SUMBER DAYA APARATUR</w:t>
            </w:r>
          </w:p>
        </w:tc>
        <w:tc>
          <w:tcPr>
            <w:tcW w:w="2174"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Peningkatan Kapasitas Pegawai di Perangkat Daerah (%)</w:t>
            </w:r>
          </w:p>
        </w:tc>
        <w:tc>
          <w:tcPr>
            <w:tcW w:w="1459"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76" w:type="dxa"/>
            <w:tcBorders>
              <w:top w:val="nil"/>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135"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56.450.000,00</w:t>
            </w:r>
          </w:p>
        </w:tc>
        <w:tc>
          <w:tcPr>
            <w:tcW w:w="1181"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81"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38" w:type="dxa"/>
            <w:tcBorders>
              <w:top w:val="nil"/>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070"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56.450.000,00</w:t>
            </w:r>
          </w:p>
        </w:tc>
      </w:tr>
      <w:tr>
        <w:tblPrEx>
          <w:tblCellMar>
            <w:top w:w="0" w:type="dxa"/>
            <w:left w:w="108" w:type="dxa"/>
            <w:bottom w:w="0" w:type="dxa"/>
            <w:right w:w="108" w:type="dxa"/>
          </w:tblCellMar>
        </w:tblPrEx>
        <w:trPr>
          <w:trHeight w:val="840" w:hRule="atLeast"/>
        </w:trPr>
        <w:tc>
          <w:tcPr>
            <w:tcW w:w="1582" w:type="dxa"/>
            <w:tcBorders>
              <w:top w:val="single" w:color="auto" w:sz="4" w:space="0"/>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4.402.29.04.01</w:t>
            </w:r>
          </w:p>
        </w:tc>
        <w:tc>
          <w:tcPr>
            <w:tcW w:w="1966"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Pendidikan dan Pelatihan Formal</w:t>
            </w:r>
          </w:p>
        </w:tc>
        <w:tc>
          <w:tcPr>
            <w:tcW w:w="2174"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yang mengikuti pelatihan ( orang)</w:t>
            </w:r>
          </w:p>
        </w:tc>
        <w:tc>
          <w:tcPr>
            <w:tcW w:w="1459"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 orang</w:t>
            </w:r>
          </w:p>
        </w:tc>
        <w:tc>
          <w:tcPr>
            <w:tcW w:w="2135"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56.450.000,00</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 orang</w:t>
            </w:r>
          </w:p>
        </w:tc>
        <w:tc>
          <w:tcPr>
            <w:tcW w:w="2070"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56.450.000,00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4.402.29.05</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PENGEMBANGAN SISTEM PELAPORAN CAPAIAN KINERJA DAN KEUANGAN</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Dokumen Perencanaan, Laporan Keuangan dan Kinerja Perangkat Daerah yang Tepat Waktu (%)</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32.350.000,00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81"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32.350.000,00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4.402.29.05.01</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Laporan Capaian Kinerja dan Ikhtisar Realisasi Kinerja SKPD</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Tahunan (Buku)</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buku</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16.625.000,00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 buku</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16.625.000,00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4.402.29.05.02</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Laporan Keuangan Semesteran</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semester I dan semester II (Buku)</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11.160.000,00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 buku</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11.160.000,00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4.402.29.05.03</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Pelaporan Keuangan Akhir Tahun</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akhir (Buku)</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buku</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4.565.000,00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buku</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4.565.000,00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4.402.29.06</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PENERIMAAN PAJAK BPHTB DAN BUMD</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Tingkat pelayanan penerimaan BPHTB</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2.781.250.361,00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81"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2.781.250.361,00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4.402.29.06.01</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Pelayanan dan Penelitian BPHTB</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pengajuan permoohonan Wajib Pajak untuk pembayaran BPHTB yang terlayani dan di teliti</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1.251.563.361,00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1.251.563.361,00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4.402.29.06.02</w:t>
            </w:r>
          </w:p>
        </w:tc>
        <w:tc>
          <w:tcPr>
            <w:tcW w:w="1966"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Verifikasi dan Validasi</w:t>
            </w:r>
          </w:p>
        </w:tc>
        <w:tc>
          <w:tcPr>
            <w:tcW w:w="2174"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jumlah pengajuan permohonan wajib pajak untuk pembayaran BPHTB yang terferivikasi dan validasi</w:t>
            </w:r>
          </w:p>
        </w:tc>
        <w:tc>
          <w:tcPr>
            <w:tcW w:w="1459"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2135"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1.112.500.000,00</w:t>
            </w:r>
          </w:p>
        </w:tc>
        <w:tc>
          <w:tcPr>
            <w:tcW w:w="1181"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2070"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1.112.500.000,00</w:t>
            </w:r>
          </w:p>
        </w:tc>
      </w:tr>
      <w:tr>
        <w:tblPrEx>
          <w:tblCellMar>
            <w:top w:w="0" w:type="dxa"/>
            <w:left w:w="108" w:type="dxa"/>
            <w:bottom w:w="0" w:type="dxa"/>
            <w:right w:w="108" w:type="dxa"/>
          </w:tblCellMar>
        </w:tblPrEx>
        <w:trPr>
          <w:trHeight w:val="840" w:hRule="atLeast"/>
        </w:trPr>
        <w:tc>
          <w:tcPr>
            <w:tcW w:w="1582" w:type="dxa"/>
            <w:tcBorders>
              <w:top w:val="single" w:color="auto" w:sz="4" w:space="0"/>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4.402.29.06.03</w:t>
            </w:r>
          </w:p>
        </w:tc>
        <w:tc>
          <w:tcPr>
            <w:tcW w:w="1966"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Pembukuan BPHTB dan BUMD</w:t>
            </w:r>
          </w:p>
        </w:tc>
        <w:tc>
          <w:tcPr>
            <w:tcW w:w="2174"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pembukuan BPHTB dan BUMD</w:t>
            </w:r>
          </w:p>
        </w:tc>
        <w:tc>
          <w:tcPr>
            <w:tcW w:w="1459"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 buku</w:t>
            </w:r>
          </w:p>
        </w:tc>
        <w:tc>
          <w:tcPr>
            <w:tcW w:w="2135"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417.187.000,00</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 buku</w:t>
            </w:r>
          </w:p>
        </w:tc>
        <w:tc>
          <w:tcPr>
            <w:tcW w:w="2070"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417.187.000,00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4.402.29.07</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PROGRAM PELAYANAN DAN PENINGKATAN PENERIMAAN PBB PERDESAAN DAN PERKOTAAN </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Layanan PBB</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6.926.419.016,00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81"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6.926.419.016,00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4.402.29.07.01</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Optimalisasi Penerimaan PBB P2</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Penerimaan PBB P2</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2.431.920.669,00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2.431.920.669,00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4.402.29.07.02</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Pencetakan Massal dan Individual SPPT PBB P2</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Penerbitan SPPT PBB P2</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1392226 op</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1.154.838.826,00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1392226 op</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1.154.838.826,00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4.402.29.07.03</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Monitoring, Evaluasi dan Pelaporan Perkembangan Penerimaan PBB P2</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Desa/Kelurahan di 33 Kecamatan yang dilakukan kegiatan Monitoring dan evaluasi perkembangan penerimaan PBB P2 Jumlah laporan penerimaan mingguan PBB P2 dalam 1 tahun</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755.100.693,00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390 Desa</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755.100.693,00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4.402.29.07.04</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Pengelolaan Data Base Objek dan Subjek PBB P2</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Pemeliharaan dan Pengembangan Sistem PBB P2</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1.085.338.431,00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1.085.338.431,00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4.402.29.07.05</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Pekan Panutan Dan Pendistribusian SPPT PBB P2</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Jumlah Kegiatan Pekan Panutan - Jumlah SPPT PBB P2 yang didistribusikan</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1519390 op</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421.027.400,00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1519390 op</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421.027.400,00</w:t>
            </w:r>
          </w:p>
        </w:tc>
      </w:tr>
      <w:tr>
        <w:tblPrEx>
          <w:tblCellMar>
            <w:top w:w="0" w:type="dxa"/>
            <w:left w:w="108" w:type="dxa"/>
            <w:bottom w:w="0" w:type="dxa"/>
            <w:right w:w="108" w:type="dxa"/>
          </w:tblCellMar>
        </w:tblPrEx>
        <w:trPr>
          <w:trHeight w:val="840" w:hRule="atLeast"/>
        </w:trPr>
        <w:tc>
          <w:tcPr>
            <w:tcW w:w="1582" w:type="dxa"/>
            <w:tcBorders>
              <w:top w:val="single" w:color="111111" w:sz="4" w:space="0"/>
              <w:left w:val="single" w:color="111111" w:sz="4" w:space="0"/>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4.402.29.07.06</w:t>
            </w:r>
          </w:p>
        </w:tc>
        <w:tc>
          <w:tcPr>
            <w:tcW w:w="1966" w:type="dxa"/>
            <w:tcBorders>
              <w:top w:val="single" w:color="111111" w:sz="4" w:space="0"/>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Pembentukan Dan Pemeliharaan Basis Data PBB P2</w:t>
            </w:r>
          </w:p>
        </w:tc>
        <w:tc>
          <w:tcPr>
            <w:tcW w:w="2174" w:type="dxa"/>
            <w:tcBorders>
              <w:top w:val="single" w:color="111111" w:sz="4" w:space="0"/>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Jumlah Desa yang dilakukan pembentukan basis data - Jumlah Desa yang dilakukan pemeliharaan Basis data</w:t>
            </w:r>
          </w:p>
        </w:tc>
        <w:tc>
          <w:tcPr>
            <w:tcW w:w="1459" w:type="dxa"/>
            <w:tcBorders>
              <w:top w:val="single" w:color="111111" w:sz="4" w:space="0"/>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single" w:color="111111" w:sz="4" w:space="0"/>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desa</w:t>
            </w:r>
          </w:p>
        </w:tc>
        <w:tc>
          <w:tcPr>
            <w:tcW w:w="2135" w:type="dxa"/>
            <w:tcBorders>
              <w:top w:val="single" w:color="111111" w:sz="4" w:space="0"/>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1.078.192.997,00</w:t>
            </w:r>
          </w:p>
        </w:tc>
        <w:tc>
          <w:tcPr>
            <w:tcW w:w="1181" w:type="dxa"/>
            <w:tcBorders>
              <w:top w:val="single" w:color="111111" w:sz="4" w:space="0"/>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single" w:color="111111" w:sz="4" w:space="0"/>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single" w:color="111111" w:sz="4" w:space="0"/>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 desa</w:t>
            </w:r>
          </w:p>
        </w:tc>
        <w:tc>
          <w:tcPr>
            <w:tcW w:w="2070" w:type="dxa"/>
            <w:tcBorders>
              <w:top w:val="single" w:color="111111" w:sz="4" w:space="0"/>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1.078.192.997,00</w:t>
            </w:r>
          </w:p>
        </w:tc>
      </w:tr>
      <w:tr>
        <w:tblPrEx>
          <w:tblCellMar>
            <w:top w:w="0" w:type="dxa"/>
            <w:left w:w="108" w:type="dxa"/>
            <w:bottom w:w="0" w:type="dxa"/>
            <w:right w:w="108" w:type="dxa"/>
          </w:tblCellMar>
        </w:tblPrEx>
        <w:trPr>
          <w:trHeight w:val="840" w:hRule="atLeast"/>
        </w:trPr>
        <w:tc>
          <w:tcPr>
            <w:tcW w:w="1582" w:type="dxa"/>
            <w:tcBorders>
              <w:top w:val="single" w:color="auto" w:sz="4" w:space="0"/>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4.402.29.08</w:t>
            </w:r>
          </w:p>
        </w:tc>
        <w:tc>
          <w:tcPr>
            <w:tcW w:w="1966"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PROGRAM PENGAWASAN DAN PENINGKATAN PENERIMAAN DAERAH </w:t>
            </w:r>
          </w:p>
        </w:tc>
        <w:tc>
          <w:tcPr>
            <w:tcW w:w="2174"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Pengawasan Penerimaan Daerah</w:t>
            </w:r>
          </w:p>
        </w:tc>
        <w:tc>
          <w:tcPr>
            <w:tcW w:w="1459"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76"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135"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3.659.756.314,00</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38"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070"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3.659.756.314,00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4.402.29.08.01</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Penagihan Piutang Pajak Daerah Non PBB</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Penagihan Pajak Daerah (Non PBB) yang di tagih</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sektor pajak</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922.223.000,00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 sektor pajak</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922.223.000,00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4.402.29.08.03</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Penanganan Keberatan dan Pengurangan</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penanganan keberatan dan pengurangan objek pajak</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 WP</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455.456.314,00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 WP</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455.456.314,00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4.402.29.08.04</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Operasi Gabungan Penertiban Pajak Daerah</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Operasi Gabuangan yang di lakukan</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612.006.000,00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612.006.000,00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4.402.29.08.05</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Pemeriksaan Pajak Daerah</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pemeriksaan Pajak Daerah ke Wajib Pajak</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508.636.000,00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508.636.000,00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4.402.29.08.06</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Rekonsiliasi Piutang Pajak</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pelaksanaan rekonsiliasi Piutang dan Tunggakan Pajak di 7 UPT</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351.554.000,00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kegiatan</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351.554.000,00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4.402.29.08.07</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Monitoring dan Evaluasi Pajak Daerah</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hasil monitoring &amp; evaluasi atas penerimaan pajak daerah</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 dokumen</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809.881.000,00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 dokumen</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809.881.000,00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4.402.29.09</w:t>
            </w:r>
          </w:p>
        </w:tc>
        <w:tc>
          <w:tcPr>
            <w:tcW w:w="1966"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DAN PENINGKATAN PENERIMAAN PAJAK NON PBB DAN BPHTB</w:t>
            </w:r>
          </w:p>
        </w:tc>
        <w:tc>
          <w:tcPr>
            <w:tcW w:w="2174"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Penerimaan Pajak Non PBB dan BPHTB</w:t>
            </w:r>
          </w:p>
        </w:tc>
        <w:tc>
          <w:tcPr>
            <w:tcW w:w="1459"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76" w:type="dxa"/>
            <w:tcBorders>
              <w:top w:val="nil"/>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135"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3.710.485.980,00</w:t>
            </w:r>
          </w:p>
        </w:tc>
        <w:tc>
          <w:tcPr>
            <w:tcW w:w="1181" w:type="dxa"/>
            <w:tcBorders>
              <w:top w:val="nil"/>
              <w:left w:val="nil"/>
              <w:bottom w:val="single" w:color="auto"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81"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238" w:type="dxa"/>
            <w:tcBorders>
              <w:top w:val="nil"/>
              <w:left w:val="nil"/>
              <w:bottom w:val="single" w:color="auto" w:sz="4" w:space="0"/>
              <w:right w:val="single" w:color="111111" w:sz="4" w:space="0"/>
            </w:tcBorders>
            <w:shd w:val="clear" w:color="auto" w:fill="auto"/>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070" w:type="dxa"/>
            <w:tcBorders>
              <w:top w:val="nil"/>
              <w:left w:val="nil"/>
              <w:bottom w:val="single" w:color="auto" w:sz="4" w:space="0"/>
              <w:right w:val="single" w:color="111111"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3.710.485.980,00</w:t>
            </w:r>
          </w:p>
        </w:tc>
      </w:tr>
      <w:tr>
        <w:tblPrEx>
          <w:tblCellMar>
            <w:top w:w="0" w:type="dxa"/>
            <w:left w:w="108" w:type="dxa"/>
            <w:bottom w:w="0" w:type="dxa"/>
            <w:right w:w="108" w:type="dxa"/>
          </w:tblCellMar>
        </w:tblPrEx>
        <w:trPr>
          <w:trHeight w:val="840" w:hRule="atLeast"/>
        </w:trPr>
        <w:tc>
          <w:tcPr>
            <w:tcW w:w="1582" w:type="dxa"/>
            <w:tcBorders>
              <w:top w:val="single" w:color="auto" w:sz="4" w:space="0"/>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4.402.29.09.01</w:t>
            </w:r>
          </w:p>
        </w:tc>
        <w:tc>
          <w:tcPr>
            <w:tcW w:w="1966"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Administrasi Perpajakan</w:t>
            </w:r>
          </w:p>
        </w:tc>
        <w:tc>
          <w:tcPr>
            <w:tcW w:w="2174"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Penghitungan Penetapan Penerbitan dan Pendistribusian Surat Ketetapan Pajak (SKP/SKPD) serta Pemeliharaan Sistem Aplikasi Perpajakan</w:t>
            </w:r>
          </w:p>
        </w:tc>
        <w:tc>
          <w:tcPr>
            <w:tcW w:w="1459"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15800 SKPD</w:t>
            </w:r>
          </w:p>
        </w:tc>
        <w:tc>
          <w:tcPr>
            <w:tcW w:w="2135"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1.399.508.685,00</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single" w:color="auto" w:sz="4" w:space="0"/>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single" w:color="auto" w:sz="4" w:space="0"/>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15800 SKPD</w:t>
            </w:r>
          </w:p>
        </w:tc>
        <w:tc>
          <w:tcPr>
            <w:tcW w:w="2070" w:type="dxa"/>
            <w:tcBorders>
              <w:top w:val="single" w:color="auto" w:sz="4" w:space="0"/>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1.399.508.685,00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4.402.29.09.02</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Data Penghitungan dan Rekonsiliasi Bagi Hasil Pajak Daerah dan Retribusi Kepada Desa</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 yang mendapatkan bagi hasil Pajak dan Retribusi</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344.524.000,00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378 desa</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344.524.000,00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4.402.29.09.03</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Target dan Laporan Perpajakan</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Realisasi yang di susun</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216 laporan</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416.039.100,00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216 laporan</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416.039.100,00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4.402.29.09.04</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Pelayanan dan Pengadministrasian Permintaan Porforasi Benda - Benda berharga</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permintaan Perforasi dan Pengadministrasian pengelolaan Benda Benda Berharga</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336 wajib pajak</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288.381.947,00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336 wajib pajak</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288.381.947,00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4.402.29.09.05</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Intensifikasi dan Ekstensifikasi Sumber Sumber Pendapatan Daerah</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obyek pajak yang di lakukan inten dan eksten</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122 OP</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648.977.748,00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122 OP</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648.977.748,00</w:t>
            </w:r>
          </w:p>
        </w:tc>
      </w:tr>
      <w:tr>
        <w:tblPrEx>
          <w:tblCellMar>
            <w:top w:w="0" w:type="dxa"/>
            <w:left w:w="108" w:type="dxa"/>
            <w:bottom w:w="0" w:type="dxa"/>
            <w:right w:w="108" w:type="dxa"/>
          </w:tblCellMar>
        </w:tblPrEx>
        <w:trPr>
          <w:trHeight w:val="840" w:hRule="atLeast"/>
        </w:trPr>
        <w:tc>
          <w:tcPr>
            <w:tcW w:w="1582" w:type="dxa"/>
            <w:tcBorders>
              <w:top w:val="nil"/>
              <w:left w:val="single" w:color="111111" w:sz="4" w:space="0"/>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4.402.29.09.06</w:t>
            </w:r>
          </w:p>
        </w:tc>
        <w:tc>
          <w:tcPr>
            <w:tcW w:w="1966"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Pendaftaran Pendataan dan Pemutakhiran Data Obyek Pajak</w:t>
            </w:r>
          </w:p>
        </w:tc>
        <w:tc>
          <w:tcPr>
            <w:tcW w:w="2174"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Wajib pajak yang terdaftar dan jumlah pendataan obyek pajak</w:t>
            </w:r>
          </w:p>
        </w:tc>
        <w:tc>
          <w:tcPr>
            <w:tcW w:w="1459"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Badan Pendapatan Daerah</w:t>
            </w:r>
          </w:p>
        </w:tc>
        <w:tc>
          <w:tcPr>
            <w:tcW w:w="1176"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2135"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613.054.500,00</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 Kabupaten</w:t>
            </w:r>
          </w:p>
        </w:tc>
        <w:tc>
          <w:tcPr>
            <w:tcW w:w="1181" w:type="dxa"/>
            <w:tcBorders>
              <w:top w:val="nil"/>
              <w:left w:val="nil"/>
              <w:bottom w:val="single" w:color="111111" w:sz="4" w:space="0"/>
              <w:right w:val="single" w:color="111111"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38" w:type="dxa"/>
            <w:tcBorders>
              <w:top w:val="nil"/>
              <w:left w:val="nil"/>
              <w:bottom w:val="single" w:color="111111" w:sz="4" w:space="0"/>
              <w:right w:val="single" w:color="111111"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 WP</w:t>
            </w:r>
          </w:p>
        </w:tc>
        <w:tc>
          <w:tcPr>
            <w:tcW w:w="2070" w:type="dxa"/>
            <w:tcBorders>
              <w:top w:val="nil"/>
              <w:left w:val="nil"/>
              <w:bottom w:val="single" w:color="111111" w:sz="4" w:space="0"/>
              <w:right w:val="single" w:color="111111"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613.054.500,00 </w:t>
            </w:r>
          </w:p>
        </w:tc>
      </w:tr>
    </w:tbl>
    <w:p>
      <w:pPr>
        <w:pStyle w:val="15"/>
        <w:spacing w:line="360" w:lineRule="auto"/>
        <w:ind w:left="993" w:hanging="426"/>
        <w:jc w:val="both"/>
        <w:rPr>
          <w:rFonts w:ascii="Bookman Old Style" w:hAnsi="Bookman Old Style" w:cs="Arial"/>
          <w:sz w:val="24"/>
          <w:szCs w:val="24"/>
        </w:rPr>
        <w:sectPr>
          <w:pgSz w:w="20160" w:h="12240" w:orient="landscape"/>
          <w:pgMar w:top="1555" w:right="850" w:bottom="1411" w:left="288" w:header="706" w:footer="706" w:gutter="0"/>
          <w:cols w:space="708" w:num="1"/>
          <w:titlePg/>
          <w:docGrid w:linePitch="360" w:charSpace="0"/>
        </w:sectPr>
      </w:pPr>
    </w:p>
    <w:p>
      <w:pPr>
        <w:pStyle w:val="15"/>
        <w:spacing w:line="360" w:lineRule="auto"/>
        <w:jc w:val="both"/>
        <w:rPr>
          <w:rFonts w:ascii="Bookman Old Style" w:hAnsi="Bookman Old Style" w:cs="Arial"/>
          <w:sz w:val="24"/>
          <w:szCs w:val="24"/>
        </w:rPr>
      </w:pPr>
    </w:p>
    <w:p>
      <w:pPr>
        <w:pStyle w:val="15"/>
        <w:numPr>
          <w:ilvl w:val="1"/>
          <w:numId w:val="20"/>
        </w:numPr>
        <w:spacing w:line="360" w:lineRule="auto"/>
        <w:ind w:left="567" w:hanging="567"/>
        <w:jc w:val="both"/>
        <w:rPr>
          <w:rFonts w:ascii="Bookman Old Style" w:hAnsi="Bookman Old Style" w:cs="Arial"/>
          <w:b/>
          <w:sz w:val="24"/>
          <w:szCs w:val="24"/>
          <w:lang w:val="en-GB"/>
        </w:rPr>
      </w:pPr>
      <w:r>
        <w:rPr>
          <w:rFonts w:ascii="Bookman Old Style" w:hAnsi="Bookman Old Style" w:cs="Arial"/>
          <w:b/>
          <w:sz w:val="24"/>
          <w:szCs w:val="24"/>
          <w:lang w:val="en-GB"/>
        </w:rPr>
        <w:t xml:space="preserve">Tujuan dan Sasaran </w:t>
      </w:r>
      <w:r>
        <w:rPr>
          <w:rFonts w:ascii="Bookman Old Style" w:hAnsi="Bookman Old Style" w:cs="Arial"/>
          <w:b/>
          <w:sz w:val="24"/>
          <w:szCs w:val="24"/>
        </w:rPr>
        <w:t xml:space="preserve">Renja </w:t>
      </w:r>
      <w:r>
        <w:rPr>
          <w:rFonts w:ascii="Bookman Old Style" w:hAnsi="Bookman Old Style" w:cs="Arial"/>
          <w:b/>
          <w:sz w:val="24"/>
          <w:szCs w:val="24"/>
          <w:lang w:val="en-GB"/>
        </w:rPr>
        <w:t>Badan Pendapatan Daerah</w:t>
      </w:r>
    </w:p>
    <w:p>
      <w:pPr>
        <w:pStyle w:val="15"/>
        <w:spacing w:line="360" w:lineRule="auto"/>
        <w:ind w:left="567" w:firstLine="567"/>
        <w:jc w:val="both"/>
        <w:rPr>
          <w:rFonts w:ascii="Bookman Old Style" w:hAnsi="Bookman Old Style" w:cs="Arial"/>
          <w:sz w:val="24"/>
          <w:szCs w:val="24"/>
          <w:lang w:val="fi-FI"/>
        </w:rPr>
      </w:pPr>
      <w:r>
        <w:rPr>
          <w:rFonts w:ascii="Bookman Old Style" w:hAnsi="Bookman Old Style" w:cs="Arial"/>
          <w:sz w:val="24"/>
          <w:szCs w:val="24"/>
        </w:rPr>
        <w:t xml:space="preserve">Tujuan merupakan penjabaran atau implementasi dari pernyataan misi dan merupakan target kualitatif organisasi, sehingga pencapaian target ini dapat merupakan ukuran kinerja faktor-faktor kunci keberhasilan organisasi. Tujuan sifatnya lebih kongkrit dari pada misi dan mengarah kepada suatu titik terang pencapaian hasil. Dengan adanya pernyataan tujuan, maka akan jelas bagi organisasi mengenai arah yang akan dituju dalam rangka mempertahankan eksistensi di masa mendatang. Dengan demikian, tujuan merupakan penjabaran lebih nyata dari perumusan visi dan misi. </w:t>
      </w:r>
      <w:r>
        <w:rPr>
          <w:rFonts w:ascii="Bookman Old Style" w:hAnsi="Bookman Old Style" w:cs="Arial"/>
          <w:b/>
          <w:sz w:val="24"/>
          <w:szCs w:val="24"/>
        </w:rPr>
        <w:t>Tujuan</w:t>
      </w:r>
      <w:r>
        <w:rPr>
          <w:rFonts w:ascii="Bookman Old Style" w:hAnsi="Bookman Old Style" w:cs="Arial"/>
          <w:b/>
          <w:sz w:val="24"/>
          <w:szCs w:val="24"/>
          <w:lang w:val="en-US"/>
        </w:rPr>
        <w:t xml:space="preserve"> </w:t>
      </w:r>
      <w:r>
        <w:rPr>
          <w:rFonts w:ascii="Bookman Old Style" w:hAnsi="Bookman Old Style" w:cs="Arial"/>
          <w:sz w:val="24"/>
          <w:szCs w:val="24"/>
        </w:rPr>
        <w:t>Badan Pendapatan Daerah sesuai Perubahan Renstra tahun 2016-2021 adalah “Meningkatkan kontribusi PAD terhadap APBD.</w:t>
      </w:r>
    </w:p>
    <w:p>
      <w:pPr>
        <w:pStyle w:val="15"/>
        <w:spacing w:line="360" w:lineRule="auto"/>
        <w:ind w:left="567" w:firstLine="567"/>
        <w:jc w:val="both"/>
        <w:rPr>
          <w:rFonts w:ascii="Bookman Old Style" w:hAnsi="Bookman Old Style" w:cs="Arial"/>
          <w:sz w:val="24"/>
          <w:szCs w:val="24"/>
          <w:lang w:val="fi-FI"/>
        </w:rPr>
      </w:pPr>
      <w:r>
        <w:rPr>
          <w:rFonts w:ascii="Bookman Old Style" w:hAnsi="Bookman Old Style" w:cs="Arial"/>
          <w:sz w:val="24"/>
          <w:szCs w:val="24"/>
        </w:rPr>
        <w:t>Sasaran merupakan</w:t>
      </w:r>
      <w:r>
        <w:rPr>
          <w:rFonts w:ascii="Bookman Old Style" w:hAnsi="Bookman Old Style" w:cs="Arial"/>
          <w:sz w:val="24"/>
          <w:szCs w:val="24"/>
          <w:lang w:val="sv-SE"/>
        </w:rPr>
        <w:t xml:space="preserve"> penjabaran dari tujuan, yaitu </w:t>
      </w:r>
      <w:r>
        <w:rPr>
          <w:rFonts w:ascii="Bookman Old Style" w:hAnsi="Bookman Old Style" w:cs="Arial"/>
          <w:sz w:val="24"/>
          <w:szCs w:val="24"/>
        </w:rPr>
        <w:t>se</w:t>
      </w:r>
      <w:r>
        <w:rPr>
          <w:rFonts w:ascii="Bookman Old Style" w:hAnsi="Bookman Old Style" w:cs="Arial"/>
          <w:sz w:val="24"/>
          <w:szCs w:val="24"/>
          <w:lang w:val="sv-SE"/>
        </w:rPr>
        <w:t xml:space="preserve">suatu yang akan dicapai atau dihasilkan oleh instansi dalam waktu tahunan/periodik yang dinyatakan secara kuantitatif, sehingga dapat diukur. </w:t>
      </w:r>
      <w:r>
        <w:rPr>
          <w:rFonts w:ascii="Bookman Old Style" w:hAnsi="Bookman Old Style" w:cs="Arial"/>
          <w:b/>
          <w:sz w:val="24"/>
          <w:szCs w:val="24"/>
          <w:lang w:val="es-ES"/>
        </w:rPr>
        <w:t xml:space="preserve">Sasaran </w:t>
      </w:r>
      <w:r>
        <w:rPr>
          <w:rFonts w:ascii="Bookman Old Style" w:hAnsi="Bookman Old Style" w:cs="Arial"/>
          <w:sz w:val="24"/>
          <w:szCs w:val="24"/>
          <w:lang w:val="es-ES"/>
        </w:rPr>
        <w:t xml:space="preserve">yang hendak dicapai oleh </w:t>
      </w:r>
      <w:r>
        <w:rPr>
          <w:rFonts w:ascii="Bookman Old Style" w:hAnsi="Bookman Old Style" w:cs="Arial"/>
          <w:sz w:val="24"/>
          <w:szCs w:val="24"/>
        </w:rPr>
        <w:t>Badan Pendapatan Daerah sesuai dengan misi</w:t>
      </w:r>
      <w:r>
        <w:rPr>
          <w:rFonts w:ascii="Bookman Old Style" w:hAnsi="Bookman Old Style" w:cs="Arial"/>
          <w:sz w:val="24"/>
          <w:szCs w:val="24"/>
          <w:lang w:val="es-ES"/>
        </w:rPr>
        <w:t xml:space="preserve">, </w:t>
      </w:r>
      <w:r>
        <w:rPr>
          <w:rFonts w:ascii="Bookman Old Style" w:hAnsi="Bookman Old Style" w:cs="Arial"/>
          <w:sz w:val="24"/>
          <w:szCs w:val="24"/>
        </w:rPr>
        <w:t>adalah“</w:t>
      </w:r>
      <w:r>
        <w:rPr>
          <w:rFonts w:ascii="Bookman Old Style" w:hAnsi="Bookman Old Style" w:eastAsia="Tahoma" w:cs="Arial"/>
          <w:sz w:val="24"/>
          <w:szCs w:val="24"/>
        </w:rPr>
        <w:t>Peningkatan pendapatan asli daerah guna kemandirian daerah”.</w:t>
      </w:r>
    </w:p>
    <w:p>
      <w:pPr>
        <w:pStyle w:val="15"/>
        <w:spacing w:line="360" w:lineRule="auto"/>
        <w:jc w:val="both"/>
        <w:rPr>
          <w:rFonts w:ascii="Bookman Old Style" w:hAnsi="Bookman Old Style" w:cs="Arial"/>
          <w:sz w:val="24"/>
          <w:szCs w:val="24"/>
          <w:lang w:val="en-GB"/>
        </w:rPr>
      </w:pPr>
    </w:p>
    <w:p>
      <w:pPr>
        <w:pStyle w:val="15"/>
        <w:numPr>
          <w:ilvl w:val="1"/>
          <w:numId w:val="20"/>
        </w:numPr>
        <w:spacing w:line="360" w:lineRule="auto"/>
        <w:ind w:left="567" w:hanging="567"/>
        <w:rPr>
          <w:rFonts w:ascii="Bookman Old Style" w:hAnsi="Bookman Old Style" w:cs="Arial"/>
          <w:b/>
          <w:sz w:val="24"/>
          <w:szCs w:val="24"/>
          <w:lang w:val="en-GB"/>
        </w:rPr>
      </w:pPr>
      <w:r>
        <w:rPr>
          <w:rFonts w:ascii="Bookman Old Style" w:hAnsi="Bookman Old Style" w:cs="Arial"/>
          <w:b/>
          <w:sz w:val="24"/>
          <w:szCs w:val="24"/>
          <w:lang w:val="en-GB"/>
        </w:rPr>
        <w:t>Program dan Kegiatan</w:t>
      </w:r>
    </w:p>
    <w:p>
      <w:pPr>
        <w:widowControl w:val="0"/>
        <w:spacing w:line="360" w:lineRule="auto"/>
        <w:ind w:left="567" w:firstLine="851"/>
        <w:contextualSpacing/>
        <w:jc w:val="both"/>
        <w:rPr>
          <w:rFonts w:ascii="Bookman Old Style" w:hAnsi="Bookman Old Style" w:cs="Arial"/>
          <w:sz w:val="24"/>
          <w:szCs w:val="24"/>
        </w:rPr>
      </w:pPr>
      <w:r>
        <w:rPr>
          <w:rFonts w:ascii="Bookman Old Style" w:hAnsi="Bookman Old Style" w:cs="Arial"/>
          <w:sz w:val="24"/>
          <w:szCs w:val="24"/>
        </w:rPr>
        <w:t xml:space="preserve">Untuk mewujudkan tujuan serta sasaran Pembangunan Kabupaten Malang, sesuai analisa kebutuhan untuk tahun 2020 </w:t>
      </w:r>
      <w:r>
        <w:rPr>
          <w:rFonts w:ascii="Bookman Old Style" w:hAnsi="Bookman Old Style" w:cs="Arial"/>
          <w:sz w:val="24"/>
          <w:szCs w:val="24"/>
          <w:lang w:val="en-GB"/>
        </w:rPr>
        <w:t>Badan Pendapatan Daerah</w:t>
      </w:r>
      <w:r>
        <w:rPr>
          <w:rFonts w:ascii="Bookman Old Style" w:hAnsi="Bookman Old Style" w:cs="Arial"/>
          <w:sz w:val="24"/>
          <w:szCs w:val="24"/>
        </w:rPr>
        <w:t>Kabupaten Malang melaksanakan 9 program dan 48 kegiatan, termasuk kegiatan utama dan kegiatan rutin dengan rincian sebagai berikut:</w:t>
      </w:r>
    </w:p>
    <w:p>
      <w:pPr>
        <w:pStyle w:val="15"/>
        <w:numPr>
          <w:ilvl w:val="4"/>
          <w:numId w:val="22"/>
        </w:numPr>
        <w:spacing w:line="360" w:lineRule="auto"/>
        <w:ind w:left="1134" w:hanging="425"/>
        <w:jc w:val="both"/>
        <w:rPr>
          <w:rFonts w:ascii="Bookman Old Style" w:hAnsi="Bookman Old Style" w:cs="Arial"/>
          <w:sz w:val="24"/>
          <w:szCs w:val="24"/>
          <w:lang w:val="en-GB"/>
        </w:rPr>
      </w:pPr>
      <w:r>
        <w:rPr>
          <w:rFonts w:ascii="Bookman Old Style" w:hAnsi="Bookman Old Style" w:cs="Arial"/>
          <w:sz w:val="24"/>
          <w:szCs w:val="24"/>
          <w:lang w:val="en-GB"/>
        </w:rPr>
        <w:t>Program Pelayanan Administrasi Perkantoran terdiri dari 12 kegiatan</w:t>
      </w:r>
      <w:r>
        <w:rPr>
          <w:rFonts w:ascii="Bookman Old Style" w:hAnsi="Bookman Old Style" w:cs="Arial"/>
          <w:sz w:val="24"/>
          <w:szCs w:val="24"/>
        </w:rPr>
        <w:t>:</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Penyediaan Jasa Surat Menyurat</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Penyediaan Jasa Komunikasi, Sumber daya air dan Listrik</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Penyediaan Jasa peralatan kantor dan perlengkapan kantor</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Penyediaan barang Cetakan dan Penggandaan;</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Penyediaan Makanan dan Minuman</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Penyediaan Jasa Administrasi keuangan</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Rapat - rapat koordinasi dan konsultasi ke dalam daerah</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Penyediaan bahan logistik kantor</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Penyediaan ATK</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Rapat - rapat koordinasi &amp; konsultasi ke luar daerah</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Penyediaan komponen instalasi listrik / penerangan bangunan kantor</w:t>
      </w:r>
    </w:p>
    <w:p>
      <w:pPr>
        <w:pStyle w:val="15"/>
        <w:numPr>
          <w:ilvl w:val="4"/>
          <w:numId w:val="2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Penyediaan bahan bacaan &amp; peraturan perundang – undangan</w:t>
      </w:r>
    </w:p>
    <w:p>
      <w:pPr>
        <w:pStyle w:val="15"/>
        <w:numPr>
          <w:ilvl w:val="4"/>
          <w:numId w:val="22"/>
        </w:numPr>
        <w:spacing w:line="360" w:lineRule="auto"/>
        <w:ind w:left="1134" w:hanging="425"/>
        <w:jc w:val="both"/>
        <w:rPr>
          <w:rFonts w:ascii="Bookman Old Style" w:hAnsi="Bookman Old Style" w:cs="Arial"/>
          <w:sz w:val="24"/>
          <w:szCs w:val="24"/>
          <w:lang w:val="en-GB"/>
        </w:rPr>
      </w:pPr>
      <w:r>
        <w:rPr>
          <w:rFonts w:ascii="Bookman Old Style" w:hAnsi="Bookman Old Style" w:cs="Arial"/>
          <w:sz w:val="24"/>
          <w:szCs w:val="24"/>
          <w:lang w:val="en-GB"/>
        </w:rPr>
        <w:t>Program Peningkatan Sarana dan Prasarana Aparatur terdiri dari 5 kegiatan</w:t>
      </w:r>
      <w:r>
        <w:rPr>
          <w:rFonts w:ascii="Bookman Old Style" w:hAnsi="Bookman Old Style" w:cs="Arial"/>
          <w:sz w:val="24"/>
          <w:szCs w:val="24"/>
        </w:rPr>
        <w:t xml:space="preserve"> :</w:t>
      </w:r>
    </w:p>
    <w:p>
      <w:pPr>
        <w:pStyle w:val="15"/>
        <w:numPr>
          <w:ilvl w:val="0"/>
          <w:numId w:val="24"/>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Pemeliharaan Rutin / Berkala Gedung Kantor</w:t>
      </w:r>
    </w:p>
    <w:p>
      <w:pPr>
        <w:pStyle w:val="15"/>
        <w:numPr>
          <w:ilvl w:val="0"/>
          <w:numId w:val="24"/>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Pemeliharaan rutin / Berkala Kendaraan Dinas / Operasional</w:t>
      </w:r>
    </w:p>
    <w:p>
      <w:pPr>
        <w:pStyle w:val="15"/>
        <w:numPr>
          <w:ilvl w:val="0"/>
          <w:numId w:val="24"/>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Pemeliharaan rutin / Berkala Peralatan gedung kantor</w:t>
      </w:r>
    </w:p>
    <w:p>
      <w:pPr>
        <w:pStyle w:val="15"/>
        <w:numPr>
          <w:ilvl w:val="0"/>
          <w:numId w:val="24"/>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Pemeliharaan rutin / berkala mebeleur</w:t>
      </w:r>
    </w:p>
    <w:p>
      <w:pPr>
        <w:pStyle w:val="15"/>
        <w:numPr>
          <w:ilvl w:val="0"/>
          <w:numId w:val="24"/>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Pengadaan peralatan gedung kantor</w:t>
      </w:r>
    </w:p>
    <w:p>
      <w:pPr>
        <w:pStyle w:val="15"/>
        <w:numPr>
          <w:ilvl w:val="4"/>
          <w:numId w:val="22"/>
        </w:numPr>
        <w:spacing w:line="360" w:lineRule="auto"/>
        <w:ind w:left="1134" w:hanging="425"/>
        <w:jc w:val="both"/>
        <w:rPr>
          <w:rFonts w:ascii="Bookman Old Style" w:hAnsi="Bookman Old Style" w:cs="Arial"/>
          <w:sz w:val="24"/>
          <w:szCs w:val="24"/>
          <w:lang w:val="en-GB"/>
        </w:rPr>
      </w:pPr>
      <w:r>
        <w:rPr>
          <w:rFonts w:ascii="Bookman Old Style" w:hAnsi="Bookman Old Style" w:cs="Arial"/>
          <w:sz w:val="24"/>
          <w:szCs w:val="24"/>
          <w:lang w:val="en-GB"/>
        </w:rPr>
        <w:t>Program Peningkatan Disiplin Aparatur terdiri dari 1 kegiatan</w:t>
      </w:r>
      <w:r>
        <w:rPr>
          <w:rFonts w:ascii="Bookman Old Style" w:hAnsi="Bookman Old Style" w:cs="Arial"/>
          <w:sz w:val="24"/>
          <w:szCs w:val="24"/>
        </w:rPr>
        <w:t xml:space="preserve"> :</w:t>
      </w:r>
    </w:p>
    <w:p>
      <w:pPr>
        <w:pStyle w:val="15"/>
        <w:numPr>
          <w:ilvl w:val="5"/>
          <w:numId w:val="3"/>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Pengadaan Pakaian khusus hari-hari tertentu</w:t>
      </w:r>
    </w:p>
    <w:p>
      <w:pPr>
        <w:pStyle w:val="15"/>
        <w:spacing w:line="360" w:lineRule="auto"/>
        <w:ind w:left="1134"/>
        <w:jc w:val="both"/>
        <w:rPr>
          <w:rFonts w:ascii="Bookman Old Style" w:hAnsi="Bookman Old Style" w:cs="Arial"/>
          <w:sz w:val="24"/>
          <w:szCs w:val="24"/>
          <w:lang w:val="en-GB"/>
        </w:rPr>
      </w:pPr>
    </w:p>
    <w:p>
      <w:pPr>
        <w:pStyle w:val="15"/>
        <w:numPr>
          <w:ilvl w:val="4"/>
          <w:numId w:val="22"/>
        </w:numPr>
        <w:spacing w:line="360" w:lineRule="auto"/>
        <w:ind w:left="1134" w:hanging="425"/>
        <w:jc w:val="both"/>
        <w:rPr>
          <w:rFonts w:ascii="Bookman Old Style" w:hAnsi="Bookman Old Style" w:cs="Arial"/>
          <w:sz w:val="24"/>
          <w:szCs w:val="24"/>
          <w:lang w:val="en-GB"/>
        </w:rPr>
      </w:pPr>
      <w:r>
        <w:rPr>
          <w:rFonts w:ascii="Bookman Old Style" w:hAnsi="Bookman Old Style" w:cs="Arial"/>
          <w:sz w:val="24"/>
          <w:szCs w:val="24"/>
          <w:lang w:val="en-GB"/>
        </w:rPr>
        <w:t>Program Peningkatan Kapasitas Sumber Daya Aparatur terdiri dari 1 kegiatan</w:t>
      </w:r>
      <w:r>
        <w:rPr>
          <w:rFonts w:ascii="Bookman Old Style" w:hAnsi="Bookman Old Style" w:cs="Arial"/>
          <w:sz w:val="24"/>
          <w:szCs w:val="24"/>
        </w:rPr>
        <w:t xml:space="preserve"> :</w:t>
      </w:r>
    </w:p>
    <w:p>
      <w:pPr>
        <w:pStyle w:val="15"/>
        <w:numPr>
          <w:ilvl w:val="0"/>
          <w:numId w:val="25"/>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Pendidikan dan Pelatihan Formal</w:t>
      </w:r>
    </w:p>
    <w:p>
      <w:pPr>
        <w:pStyle w:val="15"/>
        <w:numPr>
          <w:ilvl w:val="4"/>
          <w:numId w:val="22"/>
        </w:numPr>
        <w:spacing w:line="360" w:lineRule="auto"/>
        <w:ind w:left="1134" w:hanging="425"/>
        <w:jc w:val="both"/>
        <w:rPr>
          <w:rFonts w:ascii="Bookman Old Style" w:hAnsi="Bookman Old Style" w:cs="Arial"/>
          <w:sz w:val="24"/>
          <w:szCs w:val="24"/>
          <w:lang w:val="en-GB"/>
        </w:rPr>
      </w:pPr>
      <w:r>
        <w:rPr>
          <w:rFonts w:ascii="Bookman Old Style" w:hAnsi="Bookman Old Style" w:cs="Arial"/>
          <w:sz w:val="24"/>
          <w:szCs w:val="24"/>
          <w:lang w:val="en-GB"/>
        </w:rPr>
        <w:t>Program Peningkatan Pengembangan Sistem Pelaporan Capaian Kinerja dan Keuangan terdiri dari 3 kegiatan</w:t>
      </w:r>
      <w:r>
        <w:rPr>
          <w:rFonts w:ascii="Bookman Old Style" w:hAnsi="Bookman Old Style" w:cs="Arial"/>
          <w:sz w:val="24"/>
          <w:szCs w:val="24"/>
        </w:rPr>
        <w:t xml:space="preserve"> :</w:t>
      </w:r>
    </w:p>
    <w:p>
      <w:pPr>
        <w:pStyle w:val="15"/>
        <w:numPr>
          <w:ilvl w:val="0"/>
          <w:numId w:val="26"/>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Penyusunan Laporan Capaian Kinerja &amp; Ikhtisar Realisasi Kinerja SKPD</w:t>
      </w:r>
    </w:p>
    <w:p>
      <w:pPr>
        <w:pStyle w:val="15"/>
        <w:numPr>
          <w:ilvl w:val="0"/>
          <w:numId w:val="26"/>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Penyusunan Laporan Keuangan Semesteran</w:t>
      </w:r>
    </w:p>
    <w:p>
      <w:pPr>
        <w:pStyle w:val="15"/>
        <w:numPr>
          <w:ilvl w:val="0"/>
          <w:numId w:val="26"/>
        </w:numPr>
        <w:spacing w:line="360" w:lineRule="auto"/>
        <w:ind w:left="1560" w:hanging="426"/>
        <w:jc w:val="both"/>
        <w:rPr>
          <w:rFonts w:ascii="Bookman Old Style" w:hAnsi="Bookman Old Style" w:cs="Arial"/>
          <w:sz w:val="24"/>
          <w:szCs w:val="24"/>
          <w:lang w:val="en-GB"/>
        </w:rPr>
      </w:pPr>
      <w:r>
        <w:rPr>
          <w:rFonts w:ascii="Bookman Old Style" w:hAnsi="Bookman Old Style" w:cs="Arial"/>
          <w:sz w:val="24"/>
          <w:szCs w:val="24"/>
          <w:lang w:val="en-GB"/>
        </w:rPr>
        <w:t>Kegiatan Penyusunan Laporan Keuangan Akhir Tahun</w:t>
      </w:r>
    </w:p>
    <w:p>
      <w:pPr>
        <w:pStyle w:val="15"/>
        <w:numPr>
          <w:ilvl w:val="4"/>
          <w:numId w:val="22"/>
        </w:numPr>
        <w:spacing w:line="360" w:lineRule="auto"/>
        <w:ind w:left="1276" w:hanging="425"/>
        <w:jc w:val="both"/>
        <w:rPr>
          <w:rFonts w:ascii="Bookman Old Style" w:hAnsi="Bookman Old Style" w:cs="Arial"/>
          <w:sz w:val="24"/>
          <w:szCs w:val="24"/>
          <w:lang w:val="en-GB"/>
        </w:rPr>
      </w:pPr>
      <w:r>
        <w:rPr>
          <w:rFonts w:ascii="Bookman Old Style" w:hAnsi="Bookman Old Style" w:cs="Arial"/>
          <w:sz w:val="24"/>
          <w:szCs w:val="24"/>
          <w:lang w:val="en-GB"/>
        </w:rPr>
        <w:t>Program Pelayanan Penerimaan Pajak BPHTB dan BUMD terdiri dari 3 kegiatan</w:t>
      </w:r>
      <w:r>
        <w:rPr>
          <w:rFonts w:ascii="Bookman Old Style" w:hAnsi="Bookman Old Style" w:cs="Arial"/>
          <w:sz w:val="24"/>
          <w:szCs w:val="24"/>
        </w:rPr>
        <w:t xml:space="preserve"> :</w:t>
      </w:r>
    </w:p>
    <w:p>
      <w:pPr>
        <w:pStyle w:val="15"/>
        <w:numPr>
          <w:ilvl w:val="0"/>
          <w:numId w:val="27"/>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Pelayanan dan penelitian BPHTB</w:t>
      </w:r>
    </w:p>
    <w:p>
      <w:pPr>
        <w:pStyle w:val="15"/>
        <w:numPr>
          <w:ilvl w:val="0"/>
          <w:numId w:val="27"/>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Pembukuan BPHTB dan BUMD</w:t>
      </w:r>
    </w:p>
    <w:p>
      <w:pPr>
        <w:pStyle w:val="15"/>
        <w:numPr>
          <w:ilvl w:val="0"/>
          <w:numId w:val="27"/>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Verifikasi dan Validasi</w:t>
      </w:r>
    </w:p>
    <w:p>
      <w:pPr>
        <w:pStyle w:val="15"/>
        <w:numPr>
          <w:ilvl w:val="4"/>
          <w:numId w:val="22"/>
        </w:numPr>
        <w:spacing w:line="360" w:lineRule="auto"/>
        <w:ind w:left="1276" w:hanging="425"/>
        <w:jc w:val="both"/>
        <w:rPr>
          <w:rFonts w:ascii="Bookman Old Style" w:hAnsi="Bookman Old Style" w:cs="Arial"/>
          <w:sz w:val="24"/>
          <w:szCs w:val="24"/>
          <w:lang w:val="en-GB"/>
        </w:rPr>
      </w:pPr>
      <w:r>
        <w:rPr>
          <w:rFonts w:ascii="Bookman Old Style" w:hAnsi="Bookman Old Style" w:cs="Arial"/>
          <w:sz w:val="24"/>
          <w:szCs w:val="24"/>
          <w:lang w:val="en-GB"/>
        </w:rPr>
        <w:t>Program Pelayanan dan Peningkatan Penerimaan PBB Perdesaan dan Perkotaan terdiri dari 6 kegiatan</w:t>
      </w:r>
      <w:r>
        <w:rPr>
          <w:rFonts w:ascii="Bookman Old Style" w:hAnsi="Bookman Old Style" w:cs="Arial"/>
          <w:sz w:val="24"/>
          <w:szCs w:val="24"/>
        </w:rPr>
        <w:t xml:space="preserve"> :</w:t>
      </w:r>
    </w:p>
    <w:p>
      <w:pPr>
        <w:pStyle w:val="15"/>
        <w:numPr>
          <w:ilvl w:val="0"/>
          <w:numId w:val="28"/>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Optimalisasi Penerimaan PBB - P2</w:t>
      </w:r>
    </w:p>
    <w:p>
      <w:pPr>
        <w:pStyle w:val="15"/>
        <w:numPr>
          <w:ilvl w:val="0"/>
          <w:numId w:val="28"/>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Pencetakan Massal dan Individual SPPT PBB - P2</w:t>
      </w:r>
    </w:p>
    <w:p>
      <w:pPr>
        <w:pStyle w:val="15"/>
        <w:numPr>
          <w:ilvl w:val="0"/>
          <w:numId w:val="28"/>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Monitoring, Evaluasi dan Pelaporan Perkembangan Penerimaan PBB - P2</w:t>
      </w:r>
    </w:p>
    <w:p>
      <w:pPr>
        <w:pStyle w:val="15"/>
        <w:numPr>
          <w:ilvl w:val="0"/>
          <w:numId w:val="28"/>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Pengelolaan Data Base Objek dan Subjek PBB P2</w:t>
      </w:r>
    </w:p>
    <w:p>
      <w:pPr>
        <w:pStyle w:val="15"/>
        <w:numPr>
          <w:ilvl w:val="0"/>
          <w:numId w:val="28"/>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Pekan Panutan Dan Pendistribusian SPPT PBB - P2</w:t>
      </w:r>
    </w:p>
    <w:p>
      <w:pPr>
        <w:pStyle w:val="15"/>
        <w:numPr>
          <w:ilvl w:val="0"/>
          <w:numId w:val="28"/>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Pembentukan dan Pemeliharaan Basis Data PBB - P2</w:t>
      </w:r>
    </w:p>
    <w:p>
      <w:pPr>
        <w:pStyle w:val="15"/>
        <w:numPr>
          <w:ilvl w:val="4"/>
          <w:numId w:val="22"/>
        </w:numPr>
        <w:spacing w:line="360" w:lineRule="auto"/>
        <w:ind w:left="1276" w:hanging="425"/>
        <w:jc w:val="both"/>
        <w:rPr>
          <w:rFonts w:ascii="Bookman Old Style" w:hAnsi="Bookman Old Style" w:cs="Arial"/>
          <w:sz w:val="24"/>
          <w:szCs w:val="24"/>
          <w:lang w:val="en-GB"/>
        </w:rPr>
      </w:pPr>
      <w:r>
        <w:rPr>
          <w:rFonts w:ascii="Bookman Old Style" w:hAnsi="Bookman Old Style" w:cs="Arial"/>
          <w:sz w:val="24"/>
          <w:szCs w:val="24"/>
          <w:lang w:val="en-GB"/>
        </w:rPr>
        <w:t>Program Pengawasan dan Peningkatan Penerimaan Daerah</w:t>
      </w:r>
      <w:r>
        <w:rPr>
          <w:rFonts w:ascii="Bookman Old Style" w:hAnsi="Bookman Old Style" w:cs="Arial"/>
          <w:sz w:val="24"/>
          <w:szCs w:val="24"/>
        </w:rPr>
        <w:t xml:space="preserve"> terdiri dari </w:t>
      </w:r>
      <w:r>
        <w:rPr>
          <w:rFonts w:ascii="Bookman Old Style" w:hAnsi="Bookman Old Style" w:cs="Arial"/>
          <w:sz w:val="24"/>
          <w:szCs w:val="24"/>
          <w:lang w:val="zh-CN"/>
        </w:rPr>
        <w:t>6</w:t>
      </w:r>
      <w:r>
        <w:rPr>
          <w:rFonts w:ascii="Bookman Old Style" w:hAnsi="Bookman Old Style" w:cs="Arial"/>
          <w:sz w:val="24"/>
          <w:szCs w:val="24"/>
        </w:rPr>
        <w:t xml:space="preserve"> kegiatan:</w:t>
      </w:r>
    </w:p>
    <w:p>
      <w:pPr>
        <w:pStyle w:val="15"/>
        <w:numPr>
          <w:ilvl w:val="0"/>
          <w:numId w:val="29"/>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Penagihan Piutang Pajak Daerah Non PBB</w:t>
      </w:r>
    </w:p>
    <w:p>
      <w:pPr>
        <w:pStyle w:val="15"/>
        <w:numPr>
          <w:ilvl w:val="0"/>
          <w:numId w:val="29"/>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Monitoring dan Evaluasi Pajak Daerah</w:t>
      </w:r>
    </w:p>
    <w:p>
      <w:pPr>
        <w:pStyle w:val="15"/>
        <w:numPr>
          <w:ilvl w:val="0"/>
          <w:numId w:val="29"/>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Penanganan Keberatan dan Pengurangan</w:t>
      </w:r>
    </w:p>
    <w:p>
      <w:pPr>
        <w:pStyle w:val="15"/>
        <w:numPr>
          <w:ilvl w:val="0"/>
          <w:numId w:val="29"/>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Operasi Gabungan Penertiban Pajak Daerah</w:t>
      </w:r>
    </w:p>
    <w:p>
      <w:pPr>
        <w:pStyle w:val="15"/>
        <w:numPr>
          <w:ilvl w:val="0"/>
          <w:numId w:val="29"/>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Pemeriksaan Pajak Daerah</w:t>
      </w:r>
    </w:p>
    <w:p>
      <w:pPr>
        <w:pStyle w:val="15"/>
        <w:numPr>
          <w:ilvl w:val="0"/>
          <w:numId w:val="29"/>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Rekonsiliasi Piutang Pajak</w:t>
      </w:r>
    </w:p>
    <w:p>
      <w:pPr>
        <w:pStyle w:val="15"/>
        <w:numPr>
          <w:ilvl w:val="4"/>
          <w:numId w:val="22"/>
        </w:numPr>
        <w:spacing w:line="360" w:lineRule="auto"/>
        <w:ind w:left="1276" w:hanging="425"/>
        <w:jc w:val="both"/>
        <w:rPr>
          <w:rFonts w:ascii="Bookman Old Style" w:hAnsi="Bookman Old Style" w:cs="Arial"/>
          <w:sz w:val="24"/>
          <w:szCs w:val="24"/>
          <w:lang w:val="en-GB"/>
        </w:rPr>
      </w:pPr>
      <w:r>
        <w:rPr>
          <w:rFonts w:ascii="Bookman Old Style" w:hAnsi="Bookman Old Style" w:cs="Arial"/>
          <w:sz w:val="24"/>
          <w:szCs w:val="24"/>
          <w:lang w:val="en-GB"/>
        </w:rPr>
        <w:t>Program Pelayanan Peningkatan Penerimaan Pajak Non PBB &amp; BPHTB</w:t>
      </w:r>
      <w:r>
        <w:rPr>
          <w:rFonts w:ascii="Bookman Old Style" w:hAnsi="Bookman Old Style" w:cs="Arial"/>
          <w:sz w:val="24"/>
          <w:szCs w:val="24"/>
        </w:rPr>
        <w:t xml:space="preserve"> terdiri dari 6 kegiatan :</w:t>
      </w:r>
    </w:p>
    <w:p>
      <w:pPr>
        <w:pStyle w:val="15"/>
        <w:numPr>
          <w:ilvl w:val="0"/>
          <w:numId w:val="30"/>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Penyediaan Jasa Administrasi Perpajakan</w:t>
      </w:r>
    </w:p>
    <w:p>
      <w:pPr>
        <w:pStyle w:val="15"/>
        <w:numPr>
          <w:ilvl w:val="0"/>
          <w:numId w:val="30"/>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Penyusunan data penghitungan dan rekonsiliasi Bagi Hasil Pajak Daerah &amp; Retribusi kepada Desa</w:t>
      </w:r>
    </w:p>
    <w:p>
      <w:pPr>
        <w:pStyle w:val="15"/>
        <w:numPr>
          <w:ilvl w:val="0"/>
          <w:numId w:val="30"/>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Penyusunan target dan laporan perpajakan</w:t>
      </w:r>
    </w:p>
    <w:p>
      <w:pPr>
        <w:pStyle w:val="15"/>
        <w:numPr>
          <w:ilvl w:val="0"/>
          <w:numId w:val="30"/>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Pelayanan dan Pengadministrasian permintaan perforasi benda - benda berharga</w:t>
      </w:r>
    </w:p>
    <w:p>
      <w:pPr>
        <w:pStyle w:val="15"/>
        <w:numPr>
          <w:ilvl w:val="0"/>
          <w:numId w:val="30"/>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Intensifikasi &amp; Ekstenfikasi sumber - sumber Pendapatan Daerah</w:t>
      </w:r>
    </w:p>
    <w:p>
      <w:pPr>
        <w:pStyle w:val="15"/>
        <w:numPr>
          <w:ilvl w:val="0"/>
          <w:numId w:val="30"/>
        </w:numPr>
        <w:spacing w:line="360" w:lineRule="auto"/>
        <w:ind w:left="1701" w:hanging="425"/>
        <w:jc w:val="both"/>
        <w:rPr>
          <w:rFonts w:ascii="Bookman Old Style" w:hAnsi="Bookman Old Style" w:cs="Arial"/>
          <w:sz w:val="24"/>
          <w:szCs w:val="24"/>
          <w:lang w:val="en-GB"/>
        </w:rPr>
      </w:pPr>
      <w:r>
        <w:rPr>
          <w:rFonts w:ascii="Bookman Old Style" w:hAnsi="Bookman Old Style" w:cs="Arial"/>
          <w:sz w:val="24"/>
          <w:szCs w:val="24"/>
          <w:lang w:val="en-GB"/>
        </w:rPr>
        <w:t>Kegiatan Pendaftaran Pendataan dan Pemutakhiran Data Obyek Pajak</w:t>
      </w:r>
    </w:p>
    <w:p>
      <w:pPr>
        <w:pStyle w:val="15"/>
        <w:spacing w:line="360" w:lineRule="auto"/>
        <w:ind w:left="567" w:firstLine="567"/>
        <w:jc w:val="both"/>
        <w:rPr>
          <w:rFonts w:ascii="Bookman Old Style" w:hAnsi="Bookman Old Style" w:cs="Arial"/>
          <w:sz w:val="24"/>
          <w:szCs w:val="24"/>
          <w:lang w:val="en-GB"/>
        </w:rPr>
      </w:pPr>
      <w:r>
        <w:rPr>
          <w:rFonts w:ascii="Bookman Old Style" w:hAnsi="Bookman Old Style" w:cs="Arial"/>
          <w:sz w:val="24"/>
          <w:szCs w:val="24"/>
          <w:lang w:val="en-GB"/>
        </w:rPr>
        <w:t>Badan Pendapatan Daerah melaksanakan Instruksi Presiden Republik Indonesia Nomor 09 Tahun 2000 tentang Pengarusutamaan Gender Dalam Pembangunan Nasional mengamanatkan kepada seluruh Menteri, Kepala Lembaga, Gubernur, Walikota atau Bupati untuk mengintegerasikan Pengarusutamaan Gender pada setiap tahapan proses pembangunan mulai dari perencanaan dan penganggaran, pelaksanaan, monitoring dan evaluasi seluruh kebijakan, program dan kegiatan Nasional, Provinsi, Kota atau Kabupaten pada semua bidang pembangunan. Dalam rangka mengintegerasikan pengarusutamaan gender dalam prosesperencanaan dan penganggaran. Pada tahun 2003 diterbitkan Keputusan Menteri Dalam Negeri Nomor 132 Tahun 2003 tentang Pedoman Umum Pelaksanaan Pengarusutmaan Gender dalam Pembangunan di Daerah.</w:t>
      </w:r>
    </w:p>
    <w:p>
      <w:pPr>
        <w:pStyle w:val="15"/>
        <w:spacing w:line="360" w:lineRule="auto"/>
        <w:ind w:left="567" w:firstLine="567"/>
        <w:jc w:val="both"/>
        <w:rPr>
          <w:rFonts w:ascii="Bookman Old Style" w:hAnsi="Bookman Old Style" w:cs="Arial"/>
          <w:sz w:val="24"/>
          <w:szCs w:val="24"/>
          <w:lang w:val="en-GB"/>
        </w:rPr>
      </w:pPr>
      <w:r>
        <w:rPr>
          <w:rFonts w:ascii="Bookman Old Style" w:hAnsi="Bookman Old Style" w:cs="Arial"/>
          <w:sz w:val="24"/>
          <w:szCs w:val="24"/>
          <w:lang w:val="en-GB"/>
        </w:rPr>
        <w:t xml:space="preserve">Pada tahun 2008 diterbitkan Peraturan Menteri Dalam Negeri Nomor 15 Tahun 2008 tentang Pedoman Pelaksanaan Pengarusutamaan Gender di Daerah. Peraturan ini menginstruksikan pada semua unit Pemerintah termasuk di Badan Pendapatan Daerah Kabupaten Malang, untuk mengintegerasikan pengarusutamaan gender ke dalam perencanaan dan penganggaran. Menurut Permendagri tersebut, penyusunan kebijakan, program dan kegiatan pembangunan berperspektif gender dituangkan dalam </w:t>
      </w:r>
      <w:r>
        <w:rPr>
          <w:rFonts w:ascii="Bookman Old Style" w:hAnsi="Bookman Old Style" w:cs="Arial"/>
          <w:sz w:val="24"/>
          <w:szCs w:val="24"/>
        </w:rPr>
        <w:t>Rencana Pembangunan Jangka Menengah Daerah (RPJMD)</w:t>
      </w:r>
      <w:r>
        <w:rPr>
          <w:rFonts w:ascii="Bookman Old Style" w:hAnsi="Bookman Old Style" w:cs="Arial"/>
          <w:sz w:val="24"/>
          <w:szCs w:val="24"/>
          <w:lang w:val="en-GB"/>
        </w:rPr>
        <w:t>, Rencana Strategis Perangkat Daerah dan Rencana Kerja Perangkat Daerah.</w:t>
      </w:r>
    </w:p>
    <w:p>
      <w:pPr>
        <w:pStyle w:val="15"/>
        <w:spacing w:line="360" w:lineRule="auto"/>
        <w:ind w:left="567" w:firstLine="567"/>
        <w:jc w:val="both"/>
        <w:rPr>
          <w:rFonts w:ascii="Bookman Old Style" w:hAnsi="Bookman Old Style" w:cs="Arial"/>
          <w:sz w:val="24"/>
          <w:szCs w:val="24"/>
          <w:lang w:val="en-GB"/>
        </w:rPr>
      </w:pPr>
      <w:r>
        <w:rPr>
          <w:rFonts w:ascii="Bookman Old Style" w:hAnsi="Bookman Old Style" w:cs="Arial"/>
          <w:sz w:val="24"/>
          <w:szCs w:val="24"/>
        </w:rPr>
        <w:t>P</w:t>
      </w:r>
      <w:r>
        <w:rPr>
          <w:rFonts w:ascii="Bookman Old Style" w:hAnsi="Bookman Old Style" w:cs="Arial"/>
          <w:sz w:val="24"/>
          <w:szCs w:val="24"/>
          <w:lang w:val="en-GB"/>
        </w:rPr>
        <w:t xml:space="preserve">engarusutamaan gender ke dalam </w:t>
      </w:r>
      <w:r>
        <w:rPr>
          <w:rFonts w:ascii="Bookman Old Style" w:hAnsi="Bookman Old Style" w:cs="Arial"/>
          <w:sz w:val="24"/>
          <w:szCs w:val="24"/>
        </w:rPr>
        <w:t>dokumen Renja Badan Pendapatan Daerah Tahun 2020 termuat dalam Kegiatan</w:t>
      </w:r>
      <w:r>
        <w:rPr>
          <w:rFonts w:ascii="Bookman Old Style" w:hAnsi="Bookman Old Style" w:cs="Arial"/>
          <w:sz w:val="24"/>
          <w:szCs w:val="24"/>
          <w:lang w:val="zh-CN"/>
        </w:rPr>
        <w:t xml:space="preserve"> Pengelolaan Data Base Objek dan Subjek PBB-P2 dan Kegiatan Penyusunan Data Penghitungan dan Rekonsiliasi Bagi Hasil Pajak Daerah dan Retribusi Kepada Desa</w:t>
      </w:r>
      <w:r>
        <w:rPr>
          <w:rFonts w:ascii="Bookman Old Style" w:hAnsi="Bookman Old Style" w:cs="Arial"/>
          <w:sz w:val="24"/>
          <w:szCs w:val="24"/>
        </w:rPr>
        <w:t xml:space="preserve"> (GPA terlampir).</w:t>
      </w: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rPr>
          <w:rFonts w:ascii="Bookman Old Style" w:hAnsi="Bookman Old Style" w:cs="Arial" w:eastAsiaTheme="minorHAnsi"/>
          <w:b/>
          <w:sz w:val="24"/>
          <w:szCs w:val="24"/>
          <w:lang w:val="en-GB"/>
        </w:rPr>
      </w:pPr>
    </w:p>
    <w:p>
      <w:pPr>
        <w:pStyle w:val="15"/>
        <w:spacing w:line="360" w:lineRule="auto"/>
        <w:jc w:val="center"/>
        <w:rPr>
          <w:rFonts w:ascii="Bookman Old Style" w:hAnsi="Bookman Old Style" w:cs="Arial"/>
          <w:b/>
          <w:sz w:val="24"/>
          <w:szCs w:val="24"/>
          <w:lang w:val="en-GB"/>
        </w:rPr>
      </w:pPr>
      <w:r>
        <w:rPr>
          <w:rFonts w:ascii="Bookman Old Style" w:hAnsi="Bookman Old Style" w:cs="Arial"/>
          <w:b/>
          <w:sz w:val="24"/>
          <w:szCs w:val="24"/>
          <w:lang w:val="en-GB"/>
        </w:rPr>
        <w:t>B</w:t>
      </w:r>
      <w:r>
        <w:rPr>
          <w:rFonts w:ascii="Bookman Old Style" w:hAnsi="Bookman Old Style" w:cs="Arial"/>
          <w:b/>
          <w:sz w:val="24"/>
          <w:szCs w:val="24"/>
        </w:rPr>
        <w:t>AB I</w:t>
      </w:r>
      <w:r>
        <w:rPr>
          <w:rFonts w:ascii="Bookman Old Style" w:hAnsi="Bookman Old Style" w:cs="Arial"/>
          <w:b/>
          <w:sz w:val="24"/>
          <w:szCs w:val="24"/>
          <w:lang w:val="en-GB"/>
        </w:rPr>
        <w:t>V</w:t>
      </w:r>
    </w:p>
    <w:p>
      <w:pPr>
        <w:pStyle w:val="15"/>
        <w:spacing w:line="360" w:lineRule="auto"/>
        <w:jc w:val="center"/>
        <w:rPr>
          <w:rFonts w:ascii="Bookman Old Style" w:hAnsi="Bookman Old Style" w:cs="Arial"/>
          <w:b/>
          <w:sz w:val="24"/>
          <w:szCs w:val="24"/>
          <w:lang w:val="en-GB"/>
        </w:rPr>
      </w:pPr>
      <w:r>
        <w:rPr>
          <w:rFonts w:ascii="Bookman Old Style" w:hAnsi="Bookman Old Style" w:cs="Arial"/>
          <w:b/>
          <w:sz w:val="24"/>
          <w:szCs w:val="24"/>
          <w:lang w:val="en-GB"/>
        </w:rPr>
        <w:t xml:space="preserve">RENCANA KERJA DAN PENDANAAN </w:t>
      </w:r>
    </w:p>
    <w:p>
      <w:pPr>
        <w:pStyle w:val="15"/>
        <w:spacing w:line="360" w:lineRule="auto"/>
        <w:jc w:val="center"/>
        <w:rPr>
          <w:rFonts w:ascii="Bookman Old Style" w:hAnsi="Bookman Old Style" w:cs="Arial"/>
          <w:b/>
          <w:sz w:val="24"/>
          <w:szCs w:val="24"/>
          <w:lang w:val="en-GB"/>
        </w:rPr>
      </w:pPr>
      <w:r>
        <w:rPr>
          <w:rFonts w:ascii="Bookman Old Style" w:hAnsi="Bookman Old Style" w:cs="Arial"/>
          <w:b/>
          <w:sz w:val="24"/>
          <w:szCs w:val="24"/>
          <w:lang w:val="en-GB"/>
        </w:rPr>
        <w:t xml:space="preserve">BADAN PENDAPATAN DAERAH </w:t>
      </w:r>
    </w:p>
    <w:p>
      <w:pPr>
        <w:pStyle w:val="15"/>
        <w:spacing w:line="360" w:lineRule="auto"/>
        <w:rPr>
          <w:rFonts w:ascii="Bookman Old Style" w:hAnsi="Bookman Old Style" w:cs="Arial"/>
          <w:b/>
          <w:sz w:val="24"/>
          <w:szCs w:val="24"/>
          <w:lang w:val="en-GB"/>
        </w:rPr>
      </w:pPr>
    </w:p>
    <w:p>
      <w:pPr>
        <w:pStyle w:val="15"/>
        <w:spacing w:line="360" w:lineRule="auto"/>
        <w:ind w:firstLine="720"/>
        <w:jc w:val="both"/>
        <w:rPr>
          <w:rFonts w:ascii="Bookman Old Style" w:hAnsi="Bookman Old Style" w:cs="Arial"/>
          <w:b/>
          <w:sz w:val="24"/>
          <w:szCs w:val="24"/>
          <w:lang w:val="en-GB"/>
        </w:rPr>
      </w:pPr>
      <w:r>
        <w:rPr>
          <w:rFonts w:ascii="Bookman Old Style" w:hAnsi="Bookman Old Style" w:cs="Arial"/>
          <w:color w:val="000000"/>
          <w:sz w:val="24"/>
          <w:szCs w:val="24"/>
        </w:rPr>
        <w:t>Rencana Program dan Kegiatan Prioritas Daerah Tahun 2020 merupakan hasil rangkaian proses perencanaan dengan menggunakan</w:t>
      </w:r>
      <w:r>
        <w:rPr>
          <w:rFonts w:ascii="Bookman Old Style" w:hAnsi="Bookman Old Style" w:cs="Arial"/>
          <w:color w:val="000000"/>
          <w:sz w:val="24"/>
          <w:szCs w:val="24"/>
          <w:lang w:val="en-US"/>
        </w:rPr>
        <w:t xml:space="preserve"> </w:t>
      </w:r>
      <w:r>
        <w:rPr>
          <w:rFonts w:ascii="Bookman Old Style" w:hAnsi="Bookman Old Style" w:cs="Arial"/>
          <w:color w:val="000000"/>
          <w:sz w:val="24"/>
          <w:szCs w:val="24"/>
        </w:rPr>
        <w:t>pendekatan-pendekatan perencanaan baik teknokratik, partisipatif,</w:t>
      </w:r>
      <w:r>
        <w:rPr>
          <w:rFonts w:ascii="Bookman Old Style" w:hAnsi="Bookman Old Style" w:cs="Arial"/>
          <w:i/>
          <w:color w:val="000000"/>
          <w:sz w:val="24"/>
          <w:szCs w:val="24"/>
        </w:rPr>
        <w:t xml:space="preserve">top down </w:t>
      </w:r>
      <w:r>
        <w:rPr>
          <w:rFonts w:ascii="Bookman Old Style" w:hAnsi="Bookman Old Style" w:cs="Arial"/>
          <w:color w:val="000000"/>
          <w:sz w:val="24"/>
          <w:szCs w:val="24"/>
        </w:rPr>
        <w:t>dan</w:t>
      </w:r>
      <w:r>
        <w:rPr>
          <w:rFonts w:ascii="Bookman Old Style" w:hAnsi="Bookman Old Style" w:cs="Arial"/>
          <w:i/>
          <w:color w:val="000000"/>
          <w:sz w:val="24"/>
          <w:szCs w:val="24"/>
        </w:rPr>
        <w:t xml:space="preserve"> bottom-up</w:t>
      </w:r>
      <w:r>
        <w:rPr>
          <w:rFonts w:ascii="Bookman Old Style" w:hAnsi="Bookman Old Style" w:cs="Arial"/>
          <w:color w:val="000000"/>
          <w:sz w:val="24"/>
          <w:szCs w:val="24"/>
        </w:rPr>
        <w:t>. Sebagaimana ketentuan Undang-Undang Nomor 23 Tahun 2014 tentang Pemerintahan Daerah, maka Rencana Kerja Badan Pendapatan Daerah memuat kewenangan urusanpenunjang keuangan. Pendanaan berasal dari APBD Kabupaten Malang Tahun 2020. Program dan Kegiatan tahun 2020 sesuai Perubahan Renstra Badan Pendapatan Daerahtahun 2016-2021 dan pendanaan indikatif tahun 2020 sebagai berikut :</w:t>
      </w: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pStyle w:val="15"/>
        <w:spacing w:line="360" w:lineRule="auto"/>
        <w:jc w:val="both"/>
        <w:rPr>
          <w:rFonts w:ascii="Bookman Old Style" w:hAnsi="Bookman Old Style" w:cs="Arial"/>
          <w:b/>
          <w:sz w:val="24"/>
          <w:szCs w:val="24"/>
          <w:lang w:val="en-GB"/>
        </w:rPr>
      </w:pPr>
    </w:p>
    <w:p>
      <w:pPr>
        <w:spacing w:after="0" w:line="240" w:lineRule="auto"/>
        <w:rPr>
          <w:rFonts w:ascii="Bookman Old Style" w:hAnsi="Bookman Old Style" w:eastAsia="Times New Roman" w:cs="Calibri"/>
          <w:b/>
          <w:bCs/>
          <w:color w:val="000000"/>
          <w:sz w:val="24"/>
          <w:szCs w:val="24"/>
        </w:rPr>
        <w:sectPr>
          <w:pgSz w:w="12191" w:h="18711"/>
          <w:pgMar w:top="1418" w:right="1418" w:bottom="1418" w:left="1418" w:header="706" w:footer="706" w:gutter="0"/>
          <w:cols w:space="708" w:num="1"/>
          <w:titlePg/>
          <w:docGrid w:linePitch="360" w:charSpace="0"/>
        </w:sectPr>
      </w:pPr>
    </w:p>
    <w:tbl>
      <w:tblPr>
        <w:tblStyle w:val="12"/>
        <w:tblW w:w="17492" w:type="dxa"/>
        <w:tblInd w:w="75" w:type="dxa"/>
        <w:tblLayout w:type="fixed"/>
        <w:tblCellMar>
          <w:top w:w="0" w:type="dxa"/>
          <w:left w:w="108" w:type="dxa"/>
          <w:bottom w:w="0" w:type="dxa"/>
          <w:right w:w="108" w:type="dxa"/>
        </w:tblCellMar>
      </w:tblPr>
      <w:tblGrid>
        <w:gridCol w:w="375"/>
        <w:gridCol w:w="514"/>
        <w:gridCol w:w="375"/>
        <w:gridCol w:w="514"/>
        <w:gridCol w:w="3367"/>
        <w:gridCol w:w="4146"/>
        <w:gridCol w:w="1974"/>
        <w:gridCol w:w="1276"/>
        <w:gridCol w:w="2208"/>
        <w:gridCol w:w="1167"/>
        <w:gridCol w:w="1576"/>
      </w:tblGrid>
      <w:tr>
        <w:tblPrEx>
          <w:tblCellMar>
            <w:top w:w="0" w:type="dxa"/>
            <w:left w:w="108" w:type="dxa"/>
            <w:bottom w:w="0" w:type="dxa"/>
            <w:right w:w="108" w:type="dxa"/>
          </w:tblCellMar>
        </w:tblPrEx>
        <w:trPr>
          <w:trHeight w:val="310" w:hRule="atLeast"/>
        </w:trPr>
        <w:tc>
          <w:tcPr>
            <w:tcW w:w="17492" w:type="dxa"/>
            <w:gridSpan w:val="11"/>
            <w:tcBorders>
              <w:top w:val="nil"/>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Tabel 4.1</w:t>
            </w:r>
          </w:p>
        </w:tc>
      </w:tr>
      <w:tr>
        <w:tblPrEx>
          <w:tblCellMar>
            <w:top w:w="0" w:type="dxa"/>
            <w:left w:w="108" w:type="dxa"/>
            <w:bottom w:w="0" w:type="dxa"/>
            <w:right w:w="108" w:type="dxa"/>
          </w:tblCellMar>
        </w:tblPrEx>
        <w:trPr>
          <w:trHeight w:val="310" w:hRule="atLeast"/>
        </w:trPr>
        <w:tc>
          <w:tcPr>
            <w:tcW w:w="17492" w:type="dxa"/>
            <w:gridSpan w:val="11"/>
            <w:tcBorders>
              <w:top w:val="nil"/>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Rencana Kerja dan Pendanaan Tahun 2020</w:t>
            </w:r>
          </w:p>
        </w:tc>
      </w:tr>
      <w:tr>
        <w:tblPrEx>
          <w:tblCellMar>
            <w:top w:w="0" w:type="dxa"/>
            <w:left w:w="108" w:type="dxa"/>
            <w:bottom w:w="0" w:type="dxa"/>
            <w:right w:w="108" w:type="dxa"/>
          </w:tblCellMar>
        </w:tblPrEx>
        <w:trPr>
          <w:trHeight w:val="290" w:hRule="atLeast"/>
        </w:trPr>
        <w:tc>
          <w:tcPr>
            <w:tcW w:w="375" w:type="dxa"/>
            <w:tcBorders>
              <w:top w:val="nil"/>
              <w:left w:val="nil"/>
              <w:bottom w:val="nil"/>
              <w:right w:val="nil"/>
            </w:tcBorders>
            <w:shd w:val="clear" w:color="auto" w:fill="auto"/>
            <w:noWrap/>
            <w:vAlign w:val="bottom"/>
          </w:tcPr>
          <w:p>
            <w:pPr>
              <w:spacing w:after="0" w:line="240" w:lineRule="auto"/>
              <w:jc w:val="center"/>
              <w:rPr>
                <w:rFonts w:ascii="Bookman Old Style" w:hAnsi="Bookman Old Style" w:eastAsia="Times New Roman" w:cs="Calibri"/>
                <w:b/>
                <w:bCs/>
                <w:color w:val="000000"/>
                <w:sz w:val="18"/>
                <w:szCs w:val="18"/>
              </w:rPr>
            </w:pPr>
          </w:p>
        </w:tc>
        <w:tc>
          <w:tcPr>
            <w:tcW w:w="514"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375"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514"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3367"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414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974"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27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2208"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167"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c>
          <w:tcPr>
            <w:tcW w:w="157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sz w:val="18"/>
                <w:szCs w:val="18"/>
              </w:rPr>
            </w:pPr>
          </w:p>
        </w:tc>
      </w:tr>
      <w:tr>
        <w:tblPrEx>
          <w:tblCellMar>
            <w:top w:w="0" w:type="dxa"/>
            <w:left w:w="108" w:type="dxa"/>
            <w:bottom w:w="0" w:type="dxa"/>
            <w:right w:w="108" w:type="dxa"/>
          </w:tblCellMar>
        </w:tblPrEx>
        <w:trPr>
          <w:trHeight w:val="310" w:hRule="atLeast"/>
        </w:trPr>
        <w:tc>
          <w:tcPr>
            <w:tcW w:w="375" w:type="dxa"/>
            <w:tcBorders>
              <w:top w:val="nil"/>
              <w:left w:val="nil"/>
              <w:bottom w:val="nil"/>
              <w:right w:val="nil"/>
            </w:tcBorders>
            <w:shd w:val="clear" w:color="auto" w:fill="auto"/>
            <w:noWrap/>
            <w:vAlign w:val="center"/>
          </w:tcPr>
          <w:p>
            <w:pPr>
              <w:spacing w:after="0" w:line="240" w:lineRule="auto"/>
              <w:rPr>
                <w:rFonts w:ascii="Times New Roman" w:hAnsi="Times New Roman" w:eastAsia="Times New Roman"/>
                <w:sz w:val="18"/>
                <w:szCs w:val="18"/>
              </w:rPr>
            </w:pPr>
          </w:p>
        </w:tc>
        <w:tc>
          <w:tcPr>
            <w:tcW w:w="51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375"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51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3367"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4146"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197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1276"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2208"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1167"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c>
          <w:tcPr>
            <w:tcW w:w="1576"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eastAsia="Times New Roman"/>
                <w:sz w:val="18"/>
                <w:szCs w:val="18"/>
              </w:rPr>
            </w:pPr>
          </w:p>
        </w:tc>
      </w:tr>
      <w:tr>
        <w:tblPrEx>
          <w:tblCellMar>
            <w:top w:w="0" w:type="dxa"/>
            <w:left w:w="108" w:type="dxa"/>
            <w:bottom w:w="0" w:type="dxa"/>
            <w:right w:w="108" w:type="dxa"/>
          </w:tblCellMar>
        </w:tblPrEx>
        <w:trPr>
          <w:trHeight w:val="310" w:hRule="atLeast"/>
        </w:trPr>
        <w:tc>
          <w:tcPr>
            <w:tcW w:w="1778"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Kode Rekening</w:t>
            </w:r>
          </w:p>
        </w:tc>
        <w:tc>
          <w:tcPr>
            <w:tcW w:w="33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Urusan / Bidang Urusan Pemerintahan Daerah &amp; Program / Kegiatan </w:t>
            </w:r>
          </w:p>
        </w:tc>
        <w:tc>
          <w:tcPr>
            <w:tcW w:w="41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Indikator Kinerja Program / Kegiatan</w:t>
            </w:r>
          </w:p>
        </w:tc>
        <w:tc>
          <w:tcPr>
            <w:tcW w:w="6625" w:type="dxa"/>
            <w:gridSpan w:val="4"/>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Rencana Tahun 2020</w:t>
            </w:r>
          </w:p>
        </w:tc>
        <w:tc>
          <w:tcPr>
            <w:tcW w:w="157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Catatan Penting</w:t>
            </w:r>
          </w:p>
        </w:tc>
      </w:tr>
      <w:tr>
        <w:tblPrEx>
          <w:tblCellMar>
            <w:top w:w="0" w:type="dxa"/>
            <w:left w:w="108" w:type="dxa"/>
            <w:bottom w:w="0" w:type="dxa"/>
            <w:right w:w="108" w:type="dxa"/>
          </w:tblCellMar>
        </w:tblPrEx>
        <w:trPr>
          <w:trHeight w:val="620" w:hRule="atLeast"/>
        </w:trPr>
        <w:tc>
          <w:tcPr>
            <w:tcW w:w="1778" w:type="dxa"/>
            <w:gridSpan w:val="4"/>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3367"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414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97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Lokasi</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Target Capaian Kinerja</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Kebutuhan Dana / Pagu Indikatif</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Sumber Dana</w:t>
            </w:r>
          </w:p>
        </w:tc>
        <w:tc>
          <w:tcPr>
            <w:tcW w:w="157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r>
      <w:tr>
        <w:tblPrEx>
          <w:tblCellMar>
            <w:top w:w="0" w:type="dxa"/>
            <w:left w:w="108" w:type="dxa"/>
            <w:bottom w:w="0" w:type="dxa"/>
            <w:right w:w="108" w:type="dxa"/>
          </w:tblCellMar>
        </w:tblPrEx>
        <w:trPr>
          <w:trHeight w:val="310" w:hRule="atLeast"/>
        </w:trPr>
        <w:tc>
          <w:tcPr>
            <w:tcW w:w="1778" w:type="dxa"/>
            <w:gridSpan w:val="4"/>
            <w:tcBorders>
              <w:top w:val="single" w:color="auto" w:sz="4" w:space="0"/>
              <w:left w:val="single" w:color="auto" w:sz="4" w:space="0"/>
              <w:bottom w:val="single" w:color="auto" w:sz="4" w:space="0"/>
              <w:right w:val="single" w:color="auto" w:sz="4" w:space="0"/>
            </w:tcBorders>
            <w:shd w:val="clear" w:color="auto" w:fill="auto"/>
            <w:noWrap/>
            <w:vAlign w:val="bottom"/>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w:t>
            </w:r>
          </w:p>
        </w:tc>
        <w:tc>
          <w:tcPr>
            <w:tcW w:w="33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414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w:t>
            </w:r>
          </w:p>
        </w:tc>
        <w:tc>
          <w:tcPr>
            <w:tcW w:w="197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7</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8</w:t>
            </w:r>
          </w:p>
        </w:tc>
      </w:tr>
      <w:tr>
        <w:tblPrEx>
          <w:tblCellMar>
            <w:top w:w="0" w:type="dxa"/>
            <w:left w:w="108" w:type="dxa"/>
            <w:bottom w:w="0" w:type="dxa"/>
            <w:right w:w="108" w:type="dxa"/>
          </w:tblCellMar>
        </w:tblPrEx>
        <w:trPr>
          <w:trHeight w:val="31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514" w:type="dxa"/>
            <w:tcBorders>
              <w:top w:val="nil"/>
              <w:left w:val="nil"/>
              <w:bottom w:val="single" w:color="auto" w:sz="4" w:space="0"/>
              <w:right w:val="single" w:color="auto" w:sz="4" w:space="0"/>
            </w:tcBorders>
            <w:shd w:val="clear" w:color="auto" w:fill="auto"/>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3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414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7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310" w:hRule="atLeast"/>
        </w:trPr>
        <w:tc>
          <w:tcPr>
            <w:tcW w:w="375"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7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51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367"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Fungsi Penunjang Urusan Pemerintahan</w:t>
            </w:r>
          </w:p>
        </w:tc>
        <w:tc>
          <w:tcPr>
            <w:tcW w:w="4146" w:type="dxa"/>
            <w:tcBorders>
              <w:top w:val="nil"/>
              <w:left w:val="nil"/>
              <w:bottom w:val="single" w:color="auto" w:sz="4" w:space="0"/>
              <w:right w:val="single" w:color="auto"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74" w:type="dxa"/>
            <w:tcBorders>
              <w:top w:val="nil"/>
              <w:left w:val="nil"/>
              <w:bottom w:val="single" w:color="auto" w:sz="4" w:space="0"/>
              <w:right w:val="single" w:color="auto"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310" w:hRule="atLeast"/>
        </w:trPr>
        <w:tc>
          <w:tcPr>
            <w:tcW w:w="375"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37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51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367"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Keuangan</w:t>
            </w:r>
          </w:p>
        </w:tc>
        <w:tc>
          <w:tcPr>
            <w:tcW w:w="4146" w:type="dxa"/>
            <w:tcBorders>
              <w:top w:val="nil"/>
              <w:left w:val="nil"/>
              <w:bottom w:val="single" w:color="auto" w:sz="4" w:space="0"/>
              <w:right w:val="single" w:color="auto"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74" w:type="dxa"/>
            <w:tcBorders>
              <w:top w:val="nil"/>
              <w:left w:val="nil"/>
              <w:bottom w:val="single" w:color="auto" w:sz="4" w:space="0"/>
              <w:right w:val="single" w:color="auto"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Administrasi Perkantoran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pemenuhan operasional perkantoran</w:t>
            </w:r>
          </w:p>
        </w:tc>
        <w:tc>
          <w:tcPr>
            <w:tcW w:w="1974"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8,940,677,211</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Surat Menyurat</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registrasi Surat Masuk dan Surat Keluar</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12.000 buah</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119,940,000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74"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Komunikasi, Sumber daya air &amp; Listrik</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listrik, air minum / air bersih, telekomunikasi &amp; internet</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bulan</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173,160,000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barang Cetakan &amp; Penggandaan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barang cetakan yg disediakan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 jenis</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325,992,800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Makanan &amp; Minuman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makanan dan minuman harian pegawai, rapat &amp; tamu yang disediakan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9900 (HOK)</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210,097,500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Administrasi keuangan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pejabat pengelola administrasi keuangan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4128 (OB)</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6,709,356,781</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Rapat - rapat koordinasi &amp; konsultasi ke dalam daerah</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dalam daerah</w:t>
            </w:r>
          </w:p>
        </w:tc>
        <w:tc>
          <w:tcPr>
            <w:tcW w:w="1974"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867 (HOK)</w:t>
            </w:r>
          </w:p>
        </w:tc>
        <w:tc>
          <w:tcPr>
            <w:tcW w:w="2208"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250,220,000</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bahan logistik kantor</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logistik kantor yg disediakan</w:t>
            </w:r>
          </w:p>
        </w:tc>
        <w:tc>
          <w:tcPr>
            <w:tcW w:w="1974"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 jenis</w:t>
            </w:r>
          </w:p>
        </w:tc>
        <w:tc>
          <w:tcPr>
            <w:tcW w:w="2208"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100,861,000</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31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ATK</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ATK yg disediakan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 jenis</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400,077,000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Rapat - rapat koordinasi &amp; konsultasi ke luar daerah</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luar daerah</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850 (HOK)</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434,005,330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komponen instalasi listrik / penerangan bangunan kantor</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komponen alat - alat listrik &amp; elektronik</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51 jenis</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90,246,800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bahan bacaan &amp; peraturan perundang - undangan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bacaan &amp; peraturan perundang - undangan yg disediakan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126,720,000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Sarana dan Prasarana Aparatur</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pemenuhan sarana &amp; prasarana penunjang aparatur</w:t>
            </w:r>
          </w:p>
        </w:tc>
        <w:tc>
          <w:tcPr>
            <w:tcW w:w="1974"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1,525,900,000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 / Berkala Gedung Kantor</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gedung kantor yang dipelihara rutin / berkala</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 jenis</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446,720,694</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 / Berkala Kendaraan Dinas / Operasional</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R4 &amp; kendaraan R2 dinas yg dipelihara rutin &amp; berkala</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 unit</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404,539,000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 / Berkala Peralatan gedung kantor</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 yang dipelihara rutin / berkala</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 jenis</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55,673,000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 / berkala mebeleur</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mebeleur yg dipelihara rutin / berkala</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 jenis</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27,215,000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peralatan gedung kantor</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 yg diadakan</w:t>
            </w:r>
          </w:p>
        </w:tc>
        <w:tc>
          <w:tcPr>
            <w:tcW w:w="1974"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jenis</w:t>
            </w:r>
          </w:p>
        </w:tc>
        <w:tc>
          <w:tcPr>
            <w:tcW w:w="2208"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253,458,500</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Kendaraan Dinas/Operasional</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dinas/Operasional Roda 2 yang diadakan</w:t>
            </w:r>
          </w:p>
        </w:tc>
        <w:tc>
          <w:tcPr>
            <w:tcW w:w="1974"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 unit</w:t>
            </w:r>
          </w:p>
        </w:tc>
        <w:tc>
          <w:tcPr>
            <w:tcW w:w="2208"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78,279,306</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4146" w:type="dxa"/>
            <w:tcBorders>
              <w:top w:val="nil"/>
              <w:left w:val="nil"/>
              <w:bottom w:val="single" w:color="auto" w:sz="4" w:space="0"/>
              <w:right w:val="single" w:color="auto" w:sz="4" w:space="0"/>
            </w:tcBorders>
            <w:shd w:val="clear" w:color="auto" w:fill="auto"/>
            <w:noWrap/>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dinas/Operasional Roda 4 yang diadakan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unit</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Perlengkapan Gedung Kantor</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Perlengkapan Gedung Kantor yang diadakan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 jenis</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260,014,500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Disiplin Aparatur</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penunjang kerja aparatur</w:t>
            </w:r>
          </w:p>
        </w:tc>
        <w:tc>
          <w:tcPr>
            <w:tcW w:w="1974"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173,250,000 </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Pakaian Dinas beserta perlengkapannya</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pakaian dinas dan perlengkapannya yang disediakan</w:t>
            </w:r>
          </w:p>
        </w:tc>
        <w:tc>
          <w:tcPr>
            <w:tcW w:w="1974"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525 stell</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173,250,000 </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Pakaian khusus hari-hari tertentu</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Pakaian Olah Raga yang disediakan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stell</w:t>
            </w:r>
          </w:p>
        </w:tc>
        <w:tc>
          <w:tcPr>
            <w:tcW w:w="2208"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Kapasitas Sumber Daya Aparatur</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peningkatan kapasitas pegawai di Perangkat Daerah</w:t>
            </w:r>
          </w:p>
        </w:tc>
        <w:tc>
          <w:tcPr>
            <w:tcW w:w="1974"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56,450,000 </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Pendidikan &amp; Pelatihan Formal</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SDM yang mendapat pelatihan formal</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193 orang</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56,450,000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55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Pengembangan Sistem Pelaporan Capaian Kinerja &amp; Keuangan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dokumen perencanaan, laporan keuangan &amp; kinerja Perangkat Daerah yg tepat waktu</w:t>
            </w:r>
          </w:p>
        </w:tc>
        <w:tc>
          <w:tcPr>
            <w:tcW w:w="1974"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110 buku</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32,350,000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Laporan Capaian Kinerja &amp; Ikhtisar Realisasi Kinerja SKPD</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tahunan</w:t>
            </w:r>
          </w:p>
        </w:tc>
        <w:tc>
          <w:tcPr>
            <w:tcW w:w="1974"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70 buku</w:t>
            </w:r>
          </w:p>
        </w:tc>
        <w:tc>
          <w:tcPr>
            <w:tcW w:w="2208"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16,625,000</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Laporan Keuangan Semesteran</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semester I &amp; II</w:t>
            </w:r>
          </w:p>
        </w:tc>
        <w:tc>
          <w:tcPr>
            <w:tcW w:w="1974"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 buku</w:t>
            </w:r>
          </w:p>
        </w:tc>
        <w:tc>
          <w:tcPr>
            <w:tcW w:w="2208"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11,160,000</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Laporan Keuangan Akhir Tahun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akhir</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SEKRETARIAT</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buku</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4,565,000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4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sz w:val="18"/>
                <w:szCs w:val="18"/>
              </w:rPr>
            </w:pPr>
            <w:r>
              <w:rPr>
                <w:rFonts w:ascii="Bookman Old Style" w:hAnsi="Bookman Old Style" w:eastAsia="Times New Roman" w:cs="Calibri"/>
                <w:b/>
                <w:bCs/>
                <w:sz w:val="18"/>
                <w:szCs w:val="18"/>
              </w:rPr>
              <w:t> </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sz w:val="18"/>
                <w:szCs w:val="18"/>
              </w:rPr>
            </w:pPr>
            <w:r>
              <w:rPr>
                <w:rFonts w:ascii="Bookman Old Style" w:hAnsi="Bookman Old Style" w:eastAsia="Times New Roman" w:cs="Calibri"/>
                <w:b/>
                <w:bCs/>
                <w:sz w:val="18"/>
                <w:szCs w:val="18"/>
              </w:rPr>
              <w:t>Program Pelayanan Penerimaan Pajak BPHTB dan BUMD</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sz w:val="18"/>
                <w:szCs w:val="18"/>
              </w:rPr>
            </w:pPr>
            <w:r>
              <w:rPr>
                <w:rFonts w:ascii="Bookman Old Style" w:hAnsi="Bookman Old Style" w:eastAsia="Times New Roman" w:cs="Calibri"/>
                <w:b/>
                <w:bCs/>
                <w:sz w:val="18"/>
                <w:szCs w:val="18"/>
              </w:rPr>
              <w:t>Pengajuan permohonan Wajib Pajak untuk pembayaran BPHTB yang terlayani dan diteliti</w:t>
            </w:r>
          </w:p>
        </w:tc>
        <w:tc>
          <w:tcPr>
            <w:tcW w:w="1974"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sz w:val="18"/>
                <w:szCs w:val="18"/>
              </w:rPr>
            </w:pPr>
            <w:r>
              <w:rPr>
                <w:rFonts w:ascii="Bookman Old Style" w:hAnsi="Bookman Old Style" w:eastAsia="Times New Roman" w:cs="Calibri"/>
                <w:b/>
                <w:bCs/>
                <w:sz w:val="18"/>
                <w:szCs w:val="18"/>
              </w:rPr>
              <w:t>Badan Pendapatan Daerah</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sz w:val="18"/>
                <w:szCs w:val="18"/>
              </w:rPr>
            </w:pPr>
            <w:r>
              <w:rPr>
                <w:rFonts w:ascii="Bookman Old Style" w:hAnsi="Bookman Old Style" w:eastAsia="Times New Roman" w:cs="Calibri"/>
                <w:b/>
                <w:bCs/>
                <w:sz w:val="18"/>
                <w:szCs w:val="18"/>
              </w:rPr>
              <w:t>100%</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sz w:val="18"/>
                <w:szCs w:val="18"/>
              </w:rPr>
            </w:pPr>
            <w:r>
              <w:rPr>
                <w:rFonts w:ascii="Bookman Old Style" w:hAnsi="Bookman Old Style" w:eastAsia="Times New Roman" w:cs="Calibri"/>
                <w:b/>
                <w:bCs/>
                <w:sz w:val="18"/>
                <w:szCs w:val="18"/>
              </w:rPr>
              <w:t>2,781,250,361</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sz w:val="18"/>
                <w:szCs w:val="18"/>
              </w:rPr>
            </w:pPr>
            <w:r>
              <w:rPr>
                <w:rFonts w:ascii="Bookman Old Style" w:hAnsi="Bookman Old Style" w:eastAsia="Times New Roman" w:cs="Calibri"/>
                <w:b/>
                <w:bCs/>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sz w:val="18"/>
                <w:szCs w:val="18"/>
              </w:rPr>
            </w:pPr>
            <w:r>
              <w:rPr>
                <w:rFonts w:ascii="Bookman Old Style" w:hAnsi="Bookman Old Style" w:eastAsia="Times New Roman" w:cs="Calibri"/>
                <w:b/>
                <w:bCs/>
                <w:sz w:val="18"/>
                <w:szCs w:val="18"/>
              </w:rPr>
              <w:t> </w:t>
            </w:r>
          </w:p>
        </w:tc>
      </w:tr>
      <w:tr>
        <w:tblPrEx>
          <w:tblCellMar>
            <w:top w:w="0" w:type="dxa"/>
            <w:left w:w="108" w:type="dxa"/>
            <w:bottom w:w="0" w:type="dxa"/>
            <w:right w:w="108" w:type="dxa"/>
          </w:tblCellMar>
        </w:tblPrEx>
        <w:trPr>
          <w:trHeight w:val="124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sz w:val="18"/>
                <w:szCs w:val="18"/>
              </w:rPr>
            </w:pPr>
            <w:r>
              <w:rPr>
                <w:rFonts w:ascii="Bookman Old Style" w:hAnsi="Bookman Old Style" w:eastAsia="Times New Roman" w:cs="Calibri"/>
                <w:sz w:val="18"/>
                <w:szCs w:val="18"/>
              </w:rPr>
              <w:t>1</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sz w:val="18"/>
                <w:szCs w:val="18"/>
              </w:rPr>
            </w:pPr>
            <w:r>
              <w:rPr>
                <w:rFonts w:ascii="Bookman Old Style" w:hAnsi="Bookman Old Style" w:eastAsia="Times New Roman" w:cs="Calibri"/>
                <w:sz w:val="18"/>
                <w:szCs w:val="18"/>
              </w:rPr>
              <w:t>Pelayanan dan penelitian BPHTB</w:t>
            </w:r>
          </w:p>
        </w:tc>
        <w:tc>
          <w:tcPr>
            <w:tcW w:w="4146" w:type="dxa"/>
            <w:tcBorders>
              <w:top w:val="nil"/>
              <w:left w:val="nil"/>
              <w:bottom w:val="single" w:color="auto" w:sz="4" w:space="0"/>
              <w:right w:val="single" w:color="auto" w:sz="4" w:space="0"/>
            </w:tcBorders>
            <w:shd w:val="clear" w:color="auto" w:fill="auto"/>
            <w:vAlign w:val="center"/>
          </w:tcPr>
          <w:p>
            <w:pPr>
              <w:spacing w:after="0" w:line="240" w:lineRule="auto"/>
              <w:jc w:val="both"/>
              <w:rPr>
                <w:rFonts w:ascii="Bookman Old Style" w:hAnsi="Bookman Old Style" w:eastAsia="Times New Roman" w:cs="Calibri"/>
                <w:sz w:val="18"/>
                <w:szCs w:val="18"/>
              </w:rPr>
            </w:pPr>
            <w:r>
              <w:rPr>
                <w:rFonts w:ascii="Bookman Old Style" w:hAnsi="Bookman Old Style" w:eastAsia="Times New Roman" w:cs="Calibri"/>
                <w:sz w:val="18"/>
                <w:szCs w:val="18"/>
              </w:rPr>
              <w:t>Presentase pengajuan permohonan wajib pajak untuk pembayaran BPHTB yang terlayani</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Bidang BPHTB &amp; BUMD</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100%</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1,251,563,361</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sz w:val="18"/>
                <w:szCs w:val="18"/>
              </w:rPr>
            </w:pPr>
            <w:r>
              <w:rPr>
                <w:rFonts w:ascii="Bookman Old Style" w:hAnsi="Bookman Old Style" w:eastAsia="Times New Roman" w:cs="Calibri"/>
                <w:sz w:val="18"/>
                <w:szCs w:val="18"/>
              </w:rPr>
              <w:t>2</w:t>
            </w:r>
          </w:p>
        </w:tc>
        <w:tc>
          <w:tcPr>
            <w:tcW w:w="3367"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Pembukuan BPHTB dan BUMD</w:t>
            </w:r>
          </w:p>
        </w:tc>
        <w:tc>
          <w:tcPr>
            <w:tcW w:w="4146" w:type="dxa"/>
            <w:tcBorders>
              <w:top w:val="nil"/>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Jumlah Pembukuan BPHTB dan BUMD</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Bidang BPHTB &amp; BUMD</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13 buku</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417,187,000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 </w:t>
            </w:r>
          </w:p>
        </w:tc>
      </w:tr>
      <w:tr>
        <w:tblPrEx>
          <w:tblCellMar>
            <w:top w:w="0" w:type="dxa"/>
            <w:left w:w="108" w:type="dxa"/>
            <w:bottom w:w="0" w:type="dxa"/>
            <w:right w:w="108" w:type="dxa"/>
          </w:tblCellMar>
        </w:tblPrEx>
        <w:trPr>
          <w:trHeight w:val="124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sz w:val="18"/>
                <w:szCs w:val="18"/>
              </w:rPr>
            </w:pPr>
            <w:r>
              <w:rPr>
                <w:rFonts w:ascii="Bookman Old Style" w:hAnsi="Bookman Old Style" w:eastAsia="Times New Roman" w:cs="Calibri"/>
                <w:sz w:val="18"/>
                <w:szCs w:val="18"/>
              </w:rPr>
              <w:t>3</w:t>
            </w:r>
          </w:p>
        </w:tc>
        <w:tc>
          <w:tcPr>
            <w:tcW w:w="3367"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Verifikasi dan Validasi</w:t>
            </w:r>
          </w:p>
        </w:tc>
        <w:tc>
          <w:tcPr>
            <w:tcW w:w="4146" w:type="dxa"/>
            <w:tcBorders>
              <w:top w:val="nil"/>
              <w:left w:val="nil"/>
              <w:bottom w:val="single" w:color="auto" w:sz="4" w:space="0"/>
              <w:right w:val="single" w:color="auto" w:sz="4" w:space="0"/>
            </w:tcBorders>
            <w:shd w:val="clear" w:color="auto" w:fill="auto"/>
            <w:vAlign w:val="center"/>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Pengajuan permohonan Wajib Pajak untuk pembayaran BPHTB yang terverifikasi dan validasi</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Bidang BPHTB &amp; BUMD</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100%</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1,112,500,000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sz w:val="18"/>
                <w:szCs w:val="18"/>
              </w:rPr>
            </w:pPr>
            <w:r>
              <w:rPr>
                <w:rFonts w:ascii="Bookman Old Style" w:hAnsi="Bookman Old Style" w:eastAsia="Times New Roman" w:cs="Calibri"/>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7</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dan Peningkatan Penerimaan PBB Perdesaan dan Perkotaan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layanan PBB</w:t>
            </w:r>
          </w:p>
        </w:tc>
        <w:tc>
          <w:tcPr>
            <w:tcW w:w="1974"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1.760 OP</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6,926,419,016</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Optimalisasi Penerimaan PBB - P2</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penerimaan PBB - P2</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PBB - P2</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2,431,920,669</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Pencetakan Massal dan Individual SPPT PBB - P2</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Penerbitan SPPT PBB - P2</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PBB - P2</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1441746OP</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1,154,838,826</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217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Monitoring, Evaluasi dan Pelaporan Perkembangan Penerimaan PBB - P2</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Desa/Kelurahan di 33 Kecamatan yang dilakukan kegiatan Monitoring dan evaluasi perkembangan penerimaan PBB - P2 Jumlah laporan penerimaan mingguan PBB - P2 dalam 1 tahun</w:t>
            </w:r>
          </w:p>
        </w:tc>
        <w:tc>
          <w:tcPr>
            <w:tcW w:w="1974"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PBB - P2</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248 Desa</w:t>
            </w:r>
          </w:p>
        </w:tc>
        <w:tc>
          <w:tcPr>
            <w:tcW w:w="2208"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755,100,693</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Pengelolaan Data Base Objek dan Subjek PBB P2</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Pemeliharaan dan Pengembangan Sistem PBB - P2</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PBB - P2</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 Aplikasi SIM PBB</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1,085,338,431</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Pekan Panutan Dan Pendistribusian SPPT PBB - P2</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Pekan Panutan - Jumlah SPPT PBB - P2 yang didistribusikan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PBB - P2</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1158380 op</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421,027,400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4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bookmarkStart w:id="2" w:name="RANGE!A51:K68"/>
            <w:r>
              <w:rPr>
                <w:rFonts w:ascii="Bookman Old Style" w:hAnsi="Bookman Old Style" w:eastAsia="Times New Roman" w:cs="Calibri"/>
                <w:color w:val="000000"/>
                <w:sz w:val="18"/>
                <w:szCs w:val="18"/>
              </w:rPr>
              <w:t>4</w:t>
            </w:r>
            <w:bookmarkEnd w:id="2"/>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Pembentukan dan Pemeliharaan Basis Data PBB - P2</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 yang dilakukan pembentukan basis data - Jumlah Desa yang dilakukan pemeliharaan Basis data</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PBB - P2</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67 Desa</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1,078,192,997</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8</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Pengawasan dan Peningkatan Penerimaan Daerah</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Pengawasan Penerimaan Daerah</w:t>
            </w:r>
          </w:p>
        </w:tc>
        <w:tc>
          <w:tcPr>
            <w:tcW w:w="1974"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3,659,756,314</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Penagihan Piutang Pajak Daerah Non PBB</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Penagihan Pajak Daerah (Non PBB) yang ditagih</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P3O</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sektor pajak daerah</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922,223,000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Monitoring dan Evaluasi Pajak Daerah</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Monitoring Evaluasi Pajak dan Retribusi yang dilaksanakan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P3O</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 dokumen</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809,881,000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4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Pembinaan Aparatur Pengelolaan Pajak Daerah</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pembinaan aparatur pengelolaan Pajak di 7 UPT dan konsultasi di Provinsi dan Pusat</w:t>
            </w:r>
          </w:p>
        </w:tc>
        <w:tc>
          <w:tcPr>
            <w:tcW w:w="1974"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P3O</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kali</w:t>
            </w:r>
          </w:p>
        </w:tc>
        <w:tc>
          <w:tcPr>
            <w:tcW w:w="2208"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Penanganan Keberatan dan Pengurangan</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penanganan keberatan dan pengurangan objek pajak</w:t>
            </w:r>
          </w:p>
        </w:tc>
        <w:tc>
          <w:tcPr>
            <w:tcW w:w="1974" w:type="dxa"/>
            <w:tcBorders>
              <w:top w:val="single" w:color="auto" w:sz="4" w:space="0"/>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P3O</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 WP</w:t>
            </w:r>
          </w:p>
        </w:tc>
        <w:tc>
          <w:tcPr>
            <w:tcW w:w="2208"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455,456,314</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3367"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Operasi Gabungan Penertiban Pajak Daerah</w:t>
            </w:r>
          </w:p>
        </w:tc>
        <w:tc>
          <w:tcPr>
            <w:tcW w:w="4146"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operasi gabungan yang dilakukan</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P3O</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 kegiatan</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612,006,000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Pemeriksaan Pajak Daerah</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pemeriksaan Pajak Daerah ke Wajib Pajak</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P3O</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 kegiatan</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508,636,000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Rekonsiliasi Piutang Pajak</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pelaksanaan rekonsiliasi piutang dan tunggakan pajak di 7 UPT</w:t>
            </w:r>
          </w:p>
        </w:tc>
        <w:tc>
          <w:tcPr>
            <w:tcW w:w="1974" w:type="dxa"/>
            <w:tcBorders>
              <w:top w:val="nil"/>
              <w:left w:val="nil"/>
              <w:bottom w:val="single" w:color="auto" w:sz="4" w:space="0"/>
              <w:right w:val="single" w:color="auto" w:sz="4" w:space="0"/>
            </w:tcBorders>
            <w:shd w:val="clear" w:color="auto" w:fill="auto"/>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P3O</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 kegiatan</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351,554,000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9</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Peningkatan Penerimaan Pajak Non PBB &amp; BPHTB</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Penerimaan Pajak Non PBB &amp; BPHTB</w:t>
            </w:r>
          </w:p>
        </w:tc>
        <w:tc>
          <w:tcPr>
            <w:tcW w:w="1974"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3,710,485,980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186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Administrasi Perpajakan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Penghitungan Penetapan Penerbitan dan Pendistribusian Surat Ketetapan Pajak (SKP/SKPD) serta Pemeliharaan Sistem Aplikasi Perpajakan</w:t>
            </w:r>
          </w:p>
        </w:tc>
        <w:tc>
          <w:tcPr>
            <w:tcW w:w="1974" w:type="dxa"/>
            <w:tcBorders>
              <w:top w:val="nil"/>
              <w:left w:val="nil"/>
              <w:bottom w:val="single" w:color="auto" w:sz="4" w:space="0"/>
              <w:right w:val="single" w:color="auto" w:sz="4" w:space="0"/>
            </w:tcBorders>
            <w:shd w:val="clear" w:color="auto" w:fill="auto"/>
            <w:noWrap/>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PDRD</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15.800 SKPD</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1,399,508,685</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4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data penghitungan dan rekonsiliasi Bagi Hasil Pajak Daerah &amp; Retribusi kepada Desa</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 yang mendapatkan bagi hasil Pajak dan Retribusi</w:t>
            </w:r>
          </w:p>
        </w:tc>
        <w:tc>
          <w:tcPr>
            <w:tcW w:w="1974" w:type="dxa"/>
            <w:tcBorders>
              <w:top w:val="nil"/>
              <w:left w:val="nil"/>
              <w:bottom w:val="single" w:color="auto" w:sz="4" w:space="0"/>
              <w:right w:val="single" w:color="auto" w:sz="4" w:space="0"/>
            </w:tcBorders>
            <w:shd w:val="clear" w:color="auto" w:fill="auto"/>
            <w:noWrap/>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PDRD</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510 Desa</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344,524,000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target dan laporan perpajakan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Realisasi yang disusun</w:t>
            </w:r>
          </w:p>
        </w:tc>
        <w:tc>
          <w:tcPr>
            <w:tcW w:w="1974" w:type="dxa"/>
            <w:tcBorders>
              <w:top w:val="nil"/>
              <w:left w:val="nil"/>
              <w:bottom w:val="single" w:color="auto" w:sz="4" w:space="0"/>
              <w:right w:val="single" w:color="auto" w:sz="4" w:space="0"/>
            </w:tcBorders>
            <w:shd w:val="clear" w:color="auto" w:fill="auto"/>
            <w:noWrap/>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PDRD</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395 laporan</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416,039,100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124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Pelayanan dan Pengadministrasian permintaan perforasi benda - benda berharga</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permintaan Perforasi dan Pengadministrasian pengelolaan Benda - Benda Berharga</w:t>
            </w:r>
          </w:p>
        </w:tc>
        <w:tc>
          <w:tcPr>
            <w:tcW w:w="1974" w:type="dxa"/>
            <w:tcBorders>
              <w:top w:val="single" w:color="auto" w:sz="4" w:space="0"/>
              <w:left w:val="nil"/>
              <w:bottom w:val="single" w:color="auto" w:sz="4" w:space="0"/>
              <w:right w:val="single" w:color="auto" w:sz="4" w:space="0"/>
            </w:tcBorders>
            <w:shd w:val="clear" w:color="auto" w:fill="auto"/>
            <w:noWrap/>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PDRD</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336 Wajib Pajak</w:t>
            </w:r>
          </w:p>
        </w:tc>
        <w:tc>
          <w:tcPr>
            <w:tcW w:w="2208"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288,381,947</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single" w:color="auto" w:sz="4" w:space="0"/>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514" w:type="dxa"/>
            <w:tcBorders>
              <w:top w:val="single" w:color="auto" w:sz="4" w:space="0"/>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w:t>
            </w:r>
          </w:p>
        </w:tc>
        <w:tc>
          <w:tcPr>
            <w:tcW w:w="3367"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Intensifikasi &amp; Ekstenfikasi sumber - sumber Pendapatan Daerah</w:t>
            </w:r>
          </w:p>
        </w:tc>
        <w:tc>
          <w:tcPr>
            <w:tcW w:w="4146" w:type="dxa"/>
            <w:tcBorders>
              <w:top w:val="single" w:color="auto" w:sz="4" w:space="0"/>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obyek pajak yang di lakukan intensifikasi dan ekstensifikasi</w:t>
            </w:r>
          </w:p>
        </w:tc>
        <w:tc>
          <w:tcPr>
            <w:tcW w:w="1974" w:type="dxa"/>
            <w:tcBorders>
              <w:top w:val="single" w:color="auto" w:sz="4" w:space="0"/>
              <w:left w:val="nil"/>
              <w:bottom w:val="single" w:color="auto" w:sz="4" w:space="0"/>
              <w:right w:val="single" w:color="auto" w:sz="4" w:space="0"/>
            </w:tcBorders>
            <w:shd w:val="clear" w:color="auto" w:fill="auto"/>
            <w:noWrap/>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PDRD</w:t>
            </w:r>
          </w:p>
        </w:tc>
        <w:tc>
          <w:tcPr>
            <w:tcW w:w="12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99 OP</w:t>
            </w:r>
          </w:p>
        </w:tc>
        <w:tc>
          <w:tcPr>
            <w:tcW w:w="2208"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648,977,748</w:t>
            </w:r>
          </w:p>
        </w:tc>
        <w:tc>
          <w:tcPr>
            <w:tcW w:w="11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93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Pendaftaran Pendataan dan Pemutakhiran Data Obyek Pajak</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Wajib pajak yang terdaftar dan jumlah pendataan obyek pajak</w:t>
            </w:r>
          </w:p>
        </w:tc>
        <w:tc>
          <w:tcPr>
            <w:tcW w:w="1974" w:type="dxa"/>
            <w:tcBorders>
              <w:top w:val="nil"/>
              <w:left w:val="nil"/>
              <w:bottom w:val="single" w:color="auto" w:sz="4" w:space="0"/>
              <w:right w:val="single" w:color="auto" w:sz="4" w:space="0"/>
            </w:tcBorders>
            <w:shd w:val="clear" w:color="auto" w:fill="auto"/>
            <w:noWrap/>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PDRD</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256 Wajib Pajak</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613,054,500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62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w:t>
            </w:r>
          </w:p>
        </w:tc>
        <w:tc>
          <w:tcPr>
            <w:tcW w:w="3367"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Regulasi Perpajakan</w:t>
            </w:r>
          </w:p>
        </w:tc>
        <w:tc>
          <w:tcPr>
            <w:tcW w:w="4146" w:type="dxa"/>
            <w:tcBorders>
              <w:top w:val="nil"/>
              <w:left w:val="nil"/>
              <w:bottom w:val="single" w:color="auto" w:sz="4" w:space="0"/>
              <w:right w:val="single" w:color="auto" w:sz="4" w:space="0"/>
            </w:tcBorders>
            <w:shd w:val="clear" w:color="auto" w:fill="auto"/>
          </w:tcPr>
          <w:p>
            <w:pPr>
              <w:spacing w:after="0" w:line="240" w:lineRule="auto"/>
              <w:jc w:val="both"/>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RAPERDA dan PERBUP yang di hasilkan</w:t>
            </w:r>
          </w:p>
        </w:tc>
        <w:tc>
          <w:tcPr>
            <w:tcW w:w="1974" w:type="dxa"/>
            <w:tcBorders>
              <w:top w:val="nil"/>
              <w:left w:val="nil"/>
              <w:bottom w:val="single" w:color="auto" w:sz="4" w:space="0"/>
              <w:right w:val="single" w:color="auto" w:sz="4" w:space="0"/>
            </w:tcBorders>
            <w:shd w:val="clear" w:color="auto" w:fill="auto"/>
            <w:noWrap/>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Bidang PDRD</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 dokumen</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APBD</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310" w:hRule="atLeast"/>
        </w:trPr>
        <w:tc>
          <w:tcPr>
            <w:tcW w:w="375" w:type="dxa"/>
            <w:tcBorders>
              <w:top w:val="nil"/>
              <w:left w:val="single" w:color="auto" w:sz="4" w:space="0"/>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75"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514" w:type="dxa"/>
            <w:tcBorders>
              <w:top w:val="nil"/>
              <w:left w:val="nil"/>
              <w:bottom w:val="single" w:color="auto" w:sz="4" w:space="0"/>
              <w:right w:val="single" w:color="auto" w:sz="4" w:space="0"/>
            </w:tcBorders>
            <w:shd w:val="clear" w:color="auto" w:fill="auto"/>
            <w:noWrap/>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3367" w:type="dxa"/>
            <w:tcBorders>
              <w:top w:val="nil"/>
              <w:left w:val="nil"/>
              <w:bottom w:val="single" w:color="auto" w:sz="4" w:space="0"/>
              <w:right w:val="single" w:color="auto" w:sz="4" w:space="0"/>
            </w:tcBorders>
            <w:shd w:val="clear" w:color="auto" w:fill="auto"/>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JUMLAH</w:t>
            </w:r>
          </w:p>
        </w:tc>
        <w:tc>
          <w:tcPr>
            <w:tcW w:w="4146" w:type="dxa"/>
            <w:tcBorders>
              <w:top w:val="nil"/>
              <w:left w:val="nil"/>
              <w:bottom w:val="single" w:color="auto" w:sz="4" w:space="0"/>
              <w:right w:val="single" w:color="auto" w:sz="4" w:space="0"/>
            </w:tcBorders>
            <w:shd w:val="clear" w:color="auto" w:fill="auto"/>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974" w:type="dxa"/>
            <w:tcBorders>
              <w:top w:val="nil"/>
              <w:left w:val="nil"/>
              <w:bottom w:val="single" w:color="auto" w:sz="4" w:space="0"/>
              <w:right w:val="single" w:color="auto" w:sz="4" w:space="0"/>
            </w:tcBorders>
            <w:shd w:val="clear" w:color="auto" w:fill="auto"/>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2208"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27,806,538,882</w:t>
            </w:r>
          </w:p>
        </w:tc>
        <w:tc>
          <w:tcPr>
            <w:tcW w:w="1167"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576"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bl>
    <w:p>
      <w:pPr>
        <w:pStyle w:val="15"/>
        <w:spacing w:line="360" w:lineRule="auto"/>
        <w:jc w:val="both"/>
        <w:rPr>
          <w:rFonts w:ascii="Bookman Old Style" w:hAnsi="Bookman Old Style" w:cs="Arial"/>
          <w:b/>
          <w:sz w:val="24"/>
          <w:szCs w:val="24"/>
          <w:lang w:val="en-GB"/>
        </w:rPr>
        <w:sectPr>
          <w:pgSz w:w="20160" w:h="12240" w:orient="landscape"/>
          <w:pgMar w:top="1555" w:right="850" w:bottom="1411" w:left="288" w:header="706" w:footer="706" w:gutter="0"/>
          <w:cols w:space="708" w:num="1"/>
          <w:titlePg/>
          <w:docGrid w:linePitch="360" w:charSpace="0"/>
        </w:sectPr>
      </w:pPr>
    </w:p>
    <w:tbl>
      <w:tblPr>
        <w:tblStyle w:val="12"/>
        <w:tblW w:w="17957" w:type="dxa"/>
        <w:tblInd w:w="205" w:type="dxa"/>
        <w:tblLayout w:type="fixed"/>
        <w:tblCellMar>
          <w:top w:w="0" w:type="dxa"/>
          <w:left w:w="108" w:type="dxa"/>
          <w:bottom w:w="0" w:type="dxa"/>
          <w:right w:w="108" w:type="dxa"/>
        </w:tblCellMar>
      </w:tblPr>
      <w:tblGrid>
        <w:gridCol w:w="645"/>
        <w:gridCol w:w="1952"/>
        <w:gridCol w:w="1793"/>
        <w:gridCol w:w="1113"/>
        <w:gridCol w:w="7"/>
        <w:gridCol w:w="2023"/>
        <w:gridCol w:w="1113"/>
        <w:gridCol w:w="1265"/>
        <w:gridCol w:w="1224"/>
        <w:gridCol w:w="1276"/>
        <w:gridCol w:w="20"/>
        <w:gridCol w:w="1033"/>
        <w:gridCol w:w="20"/>
        <w:gridCol w:w="1243"/>
        <w:gridCol w:w="985"/>
        <w:gridCol w:w="1170"/>
        <w:gridCol w:w="1075"/>
      </w:tblGrid>
      <w:tr>
        <w:tblPrEx>
          <w:tblCellMar>
            <w:top w:w="0" w:type="dxa"/>
            <w:left w:w="108" w:type="dxa"/>
            <w:bottom w:w="0" w:type="dxa"/>
            <w:right w:w="108" w:type="dxa"/>
          </w:tblCellMar>
        </w:tblPrEx>
        <w:trPr>
          <w:gridAfter w:val="1"/>
          <w:wAfter w:w="1075" w:type="dxa"/>
          <w:trHeight w:val="555" w:hRule="atLeast"/>
        </w:trPr>
        <w:tc>
          <w:tcPr>
            <w:tcW w:w="16882" w:type="dxa"/>
            <w:gridSpan w:val="16"/>
            <w:tcBorders>
              <w:top w:val="nil"/>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bookmarkStart w:id="3" w:name="RANGE!A1:AA66"/>
            <w:r>
              <w:rPr>
                <w:rFonts w:ascii="Bookman Old Style" w:hAnsi="Bookman Old Style" w:eastAsia="Times New Roman" w:cs="Calibri"/>
                <w:b/>
                <w:bCs/>
                <w:color w:val="000000"/>
                <w:sz w:val="18"/>
                <w:szCs w:val="18"/>
              </w:rPr>
              <w:t>TABEL 4.2</w:t>
            </w:r>
            <w:bookmarkEnd w:id="3"/>
          </w:p>
        </w:tc>
      </w:tr>
      <w:tr>
        <w:tblPrEx>
          <w:tblCellMar>
            <w:top w:w="0" w:type="dxa"/>
            <w:left w:w="108" w:type="dxa"/>
            <w:bottom w:w="0" w:type="dxa"/>
            <w:right w:w="108" w:type="dxa"/>
          </w:tblCellMar>
        </w:tblPrEx>
        <w:trPr>
          <w:gridAfter w:val="1"/>
          <w:wAfter w:w="1075" w:type="dxa"/>
          <w:trHeight w:val="333" w:hRule="atLeast"/>
        </w:trPr>
        <w:tc>
          <w:tcPr>
            <w:tcW w:w="16882" w:type="dxa"/>
            <w:gridSpan w:val="16"/>
            <w:tcBorders>
              <w:top w:val="nil"/>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Rencana Kerja, Pendanaan dan target Penyerapan</w:t>
            </w:r>
          </w:p>
        </w:tc>
      </w:tr>
      <w:tr>
        <w:tblPrEx>
          <w:tblCellMar>
            <w:top w:w="0" w:type="dxa"/>
            <w:left w:w="108" w:type="dxa"/>
            <w:bottom w:w="0" w:type="dxa"/>
            <w:right w:w="108" w:type="dxa"/>
          </w:tblCellMar>
        </w:tblPrEx>
        <w:trPr>
          <w:gridAfter w:val="1"/>
          <w:wAfter w:w="1075" w:type="dxa"/>
          <w:trHeight w:val="403" w:hRule="atLeast"/>
        </w:trPr>
        <w:tc>
          <w:tcPr>
            <w:tcW w:w="16882" w:type="dxa"/>
            <w:gridSpan w:val="16"/>
            <w:tcBorders>
              <w:top w:val="nil"/>
              <w:left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Anggaran Per Triwulan</w:t>
            </w:r>
          </w:p>
        </w:tc>
      </w:tr>
      <w:tr>
        <w:tblPrEx>
          <w:tblCellMar>
            <w:top w:w="0" w:type="dxa"/>
            <w:left w:w="108" w:type="dxa"/>
            <w:bottom w:w="0" w:type="dxa"/>
            <w:right w:w="108" w:type="dxa"/>
          </w:tblCellMar>
        </w:tblPrEx>
        <w:trPr>
          <w:gridAfter w:val="1"/>
          <w:wAfter w:w="1075" w:type="dxa"/>
          <w:trHeight w:val="403" w:hRule="atLeast"/>
        </w:trPr>
        <w:tc>
          <w:tcPr>
            <w:tcW w:w="16882" w:type="dxa"/>
            <w:gridSpan w:val="16"/>
            <w:tcBorders>
              <w:left w:val="nil"/>
              <w:bottom w:val="nil"/>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Badan Pendapatan Daerah Tahun 2020</w:t>
            </w:r>
          </w:p>
        </w:tc>
      </w:tr>
      <w:tr>
        <w:tblPrEx>
          <w:tblCellMar>
            <w:top w:w="0" w:type="dxa"/>
            <w:left w:w="108" w:type="dxa"/>
            <w:bottom w:w="0" w:type="dxa"/>
            <w:right w:w="108" w:type="dxa"/>
          </w:tblCellMar>
        </w:tblPrEx>
        <w:trPr>
          <w:gridAfter w:val="1"/>
          <w:wAfter w:w="1075" w:type="dxa"/>
          <w:trHeight w:val="403" w:hRule="atLeast"/>
        </w:trPr>
        <w:tc>
          <w:tcPr>
            <w:tcW w:w="16882" w:type="dxa"/>
            <w:gridSpan w:val="16"/>
            <w:tcBorders>
              <w:top w:val="nil"/>
              <w:left w:val="nil"/>
              <w:bottom w:val="single" w:color="auto" w:sz="4" w:space="0"/>
              <w:right w:val="nil"/>
            </w:tcBorders>
            <w:shd w:val="clear" w:color="auto" w:fill="auto"/>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600" w:hRule="atLeast"/>
        </w:trPr>
        <w:tc>
          <w:tcPr>
            <w:tcW w:w="646" w:type="dxa"/>
            <w:vMerge w:val="restart"/>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No</w:t>
            </w:r>
          </w:p>
        </w:tc>
        <w:tc>
          <w:tcPr>
            <w:tcW w:w="1954" w:type="dxa"/>
            <w:vMerge w:val="restart"/>
            <w:tcBorders>
              <w:top w:val="nil"/>
              <w:left w:val="single" w:color="auto" w:sz="4" w:space="0"/>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URUSAN PMERINTAHAN DAERAH DAN PROGRAM/ KEGIATAN</w:t>
            </w:r>
          </w:p>
        </w:tc>
        <w:tc>
          <w:tcPr>
            <w:tcW w:w="1794" w:type="dxa"/>
            <w:vMerge w:val="restart"/>
            <w:tcBorders>
              <w:top w:val="nil"/>
              <w:left w:val="single" w:color="auto" w:sz="4" w:space="0"/>
              <w:bottom w:val="single" w:color="000000"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INDIKATOR KINERJA PROGRAM (OUTCOME) DAN KEGIATAN (OUTPUT)</w:t>
            </w:r>
          </w:p>
        </w:tc>
        <w:tc>
          <w:tcPr>
            <w:tcW w:w="3144" w:type="dxa"/>
            <w:gridSpan w:val="3"/>
            <w:tcBorders>
              <w:top w:val="single" w:color="auto" w:sz="4" w:space="0"/>
              <w:left w:val="nil"/>
              <w:bottom w:val="single" w:color="auto" w:sz="4" w:space="0"/>
              <w:right w:val="single" w:color="000000" w:sz="4" w:space="0"/>
            </w:tcBorders>
            <w:shd w:val="clear" w:color="000000" w:fill="FFFFFF"/>
            <w:noWrap/>
            <w:vAlign w:val="bottom"/>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RENCANA TAHUN 2010</w:t>
            </w:r>
          </w:p>
        </w:tc>
        <w:tc>
          <w:tcPr>
            <w:tcW w:w="9344" w:type="dxa"/>
            <w:gridSpan w:val="10"/>
            <w:tcBorders>
              <w:top w:val="single" w:color="auto" w:sz="4" w:space="0"/>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Terget kinerja dan Penyerapan Anggaran Per Triwulan (%)</w:t>
            </w:r>
          </w:p>
        </w:tc>
        <w:tc>
          <w:tcPr>
            <w:tcW w:w="1075" w:type="dxa"/>
            <w:vMerge w:val="restart"/>
            <w:tcBorders>
              <w:top w:val="single" w:color="auto" w:sz="4" w:space="0"/>
              <w:right w:val="single" w:color="auto" w:sz="4" w:space="0"/>
            </w:tcBorders>
            <w:shd w:val="clear" w:color="auto" w:fill="auto"/>
          </w:tcPr>
          <w:p>
            <w:pPr>
              <w:jc w:val="center"/>
              <w:rPr>
                <w:rFonts w:ascii="Times New Roman" w:hAnsi="Times New Roman" w:eastAsia="Times New Roman"/>
                <w:b/>
                <w:sz w:val="18"/>
                <w:szCs w:val="18"/>
              </w:rPr>
            </w:pPr>
            <w:r>
              <w:rPr>
                <w:rFonts w:ascii="Times New Roman" w:hAnsi="Times New Roman" w:eastAsia="Times New Roman"/>
                <w:b/>
                <w:sz w:val="18"/>
                <w:szCs w:val="18"/>
              </w:rPr>
              <w:t>KET.</w:t>
            </w:r>
          </w:p>
        </w:tc>
      </w:tr>
      <w:tr>
        <w:tblPrEx>
          <w:tblCellMar>
            <w:top w:w="0" w:type="dxa"/>
            <w:left w:w="108" w:type="dxa"/>
            <w:bottom w:w="0" w:type="dxa"/>
            <w:right w:w="108" w:type="dxa"/>
          </w:tblCellMar>
        </w:tblPrEx>
        <w:trPr>
          <w:trHeight w:val="600" w:hRule="atLeast"/>
        </w:trPr>
        <w:tc>
          <w:tcPr>
            <w:tcW w:w="64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954"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794" w:type="dxa"/>
            <w:vMerge w:val="continue"/>
            <w:tcBorders>
              <w:top w:val="nil"/>
              <w:left w:val="single" w:color="auto" w:sz="4" w:space="0"/>
              <w:bottom w:val="single" w:color="000000"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113" w:type="dxa"/>
            <w:vMerge w:val="restart"/>
            <w:tcBorders>
              <w:top w:val="nil"/>
              <w:left w:val="single" w:color="auto" w:sz="4" w:space="0"/>
              <w:bottom w:val="single" w:color="000000"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TARGET CAPAIAN KINERJA</w:t>
            </w:r>
          </w:p>
        </w:tc>
        <w:tc>
          <w:tcPr>
            <w:tcW w:w="2031" w:type="dxa"/>
            <w:gridSpan w:val="2"/>
            <w:vMerge w:val="restart"/>
            <w:tcBorders>
              <w:top w:val="nil"/>
              <w:left w:val="single" w:color="auto" w:sz="4" w:space="0"/>
              <w:bottom w:val="single" w:color="000000"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KEBUTUHAN DANA / PAGU INDIKATIF (Rp)</w:t>
            </w:r>
          </w:p>
        </w:tc>
        <w:tc>
          <w:tcPr>
            <w:tcW w:w="2378"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TW I</w:t>
            </w:r>
          </w:p>
        </w:tc>
        <w:tc>
          <w:tcPr>
            <w:tcW w:w="2495"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TW II</w:t>
            </w:r>
          </w:p>
        </w:tc>
        <w:tc>
          <w:tcPr>
            <w:tcW w:w="2316" w:type="dxa"/>
            <w:gridSpan w:val="4"/>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TW III</w:t>
            </w:r>
          </w:p>
        </w:tc>
        <w:tc>
          <w:tcPr>
            <w:tcW w:w="2155"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TW IV</w:t>
            </w:r>
          </w:p>
        </w:tc>
        <w:tc>
          <w:tcPr>
            <w:tcW w:w="1075" w:type="dxa"/>
            <w:vMerge w:val="continue"/>
            <w:tcBorders>
              <w:bottom w:val="single" w:color="auto" w:sz="4" w:space="0"/>
              <w:right w:val="single" w:color="auto" w:sz="4" w:space="0"/>
            </w:tcBorders>
            <w:shd w:val="clear" w:color="auto" w:fill="auto"/>
          </w:tcPr>
          <w:p>
            <w:pPr>
              <w:rPr>
                <w:rFonts w:ascii="Times New Roman" w:hAnsi="Times New Roman" w:eastAsia="Times New Roman"/>
                <w:sz w:val="18"/>
                <w:szCs w:val="18"/>
              </w:rPr>
            </w:pPr>
          </w:p>
        </w:tc>
      </w:tr>
      <w:tr>
        <w:tblPrEx>
          <w:tblCellMar>
            <w:top w:w="0" w:type="dxa"/>
            <w:left w:w="108" w:type="dxa"/>
            <w:bottom w:w="0" w:type="dxa"/>
            <w:right w:w="108" w:type="dxa"/>
          </w:tblCellMar>
        </w:tblPrEx>
        <w:trPr>
          <w:trHeight w:val="811" w:hRule="atLeast"/>
        </w:trPr>
        <w:tc>
          <w:tcPr>
            <w:tcW w:w="64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954"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794" w:type="dxa"/>
            <w:vMerge w:val="continue"/>
            <w:tcBorders>
              <w:top w:val="nil"/>
              <w:left w:val="single" w:color="auto" w:sz="4" w:space="0"/>
              <w:bottom w:val="single" w:color="000000"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113" w:type="dxa"/>
            <w:vMerge w:val="continue"/>
            <w:tcBorders>
              <w:top w:val="nil"/>
              <w:left w:val="single" w:color="auto" w:sz="4" w:space="0"/>
              <w:bottom w:val="single" w:color="000000"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2031" w:type="dxa"/>
            <w:gridSpan w:val="2"/>
            <w:vMerge w:val="continue"/>
            <w:tcBorders>
              <w:top w:val="nil"/>
              <w:left w:val="single" w:color="auto" w:sz="4" w:space="0"/>
              <w:bottom w:val="single" w:color="000000"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c>
          <w:tcPr>
            <w:tcW w:w="1113" w:type="dxa"/>
            <w:tcBorders>
              <w:top w:val="nil"/>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Kinerja (%) </w:t>
            </w:r>
          </w:p>
        </w:tc>
        <w:tc>
          <w:tcPr>
            <w:tcW w:w="1265" w:type="dxa"/>
            <w:tcBorders>
              <w:top w:val="nil"/>
              <w:left w:val="nil"/>
              <w:bottom w:val="nil"/>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Anggaran (%) </w:t>
            </w:r>
          </w:p>
        </w:tc>
        <w:tc>
          <w:tcPr>
            <w:tcW w:w="1219" w:type="dxa"/>
            <w:tcBorders>
              <w:top w:val="nil"/>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Kinerja (%) </w:t>
            </w:r>
          </w:p>
        </w:tc>
        <w:tc>
          <w:tcPr>
            <w:tcW w:w="1296" w:type="dxa"/>
            <w:gridSpan w:val="2"/>
            <w:tcBorders>
              <w:top w:val="nil"/>
              <w:left w:val="nil"/>
              <w:bottom w:val="nil"/>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Anggaran (%) </w:t>
            </w:r>
          </w:p>
        </w:tc>
        <w:tc>
          <w:tcPr>
            <w:tcW w:w="1053" w:type="dxa"/>
            <w:gridSpan w:val="2"/>
            <w:tcBorders>
              <w:top w:val="nil"/>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Kinerja (%) </w:t>
            </w:r>
          </w:p>
        </w:tc>
        <w:tc>
          <w:tcPr>
            <w:tcW w:w="1243" w:type="dxa"/>
            <w:tcBorders>
              <w:top w:val="nil"/>
              <w:left w:val="nil"/>
              <w:bottom w:val="nil"/>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Anggaran (%) </w:t>
            </w:r>
          </w:p>
        </w:tc>
        <w:tc>
          <w:tcPr>
            <w:tcW w:w="985" w:type="dxa"/>
            <w:tcBorders>
              <w:top w:val="nil"/>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Kinerja (%) </w:t>
            </w:r>
          </w:p>
        </w:tc>
        <w:tc>
          <w:tcPr>
            <w:tcW w:w="1170" w:type="dxa"/>
            <w:tcBorders>
              <w:top w:val="nil"/>
              <w:left w:val="nil"/>
              <w:bottom w:val="nil"/>
              <w:right w:val="single" w:color="111111"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Anggaran (%) </w:t>
            </w:r>
          </w:p>
        </w:tc>
        <w:tc>
          <w:tcPr>
            <w:tcW w:w="1075" w:type="dxa"/>
            <w:tcBorders>
              <w:top w:val="nil"/>
              <w:left w:val="single" w:color="auto" w:sz="4" w:space="0"/>
              <w:bottom w:val="single" w:color="000000" w:sz="4" w:space="0"/>
              <w:right w:val="single" w:color="auto" w:sz="4" w:space="0"/>
            </w:tcBorders>
            <w:vAlign w:val="center"/>
          </w:tcPr>
          <w:p>
            <w:pPr>
              <w:spacing w:after="0" w:line="240" w:lineRule="auto"/>
              <w:rPr>
                <w:rFonts w:ascii="Bookman Old Style" w:hAnsi="Bookman Old Style" w:eastAsia="Times New Roman" w:cs="Calibri"/>
                <w:b/>
                <w:bCs/>
                <w:color w:val="000000"/>
                <w:sz w:val="18"/>
                <w:szCs w:val="18"/>
              </w:rPr>
            </w:pPr>
          </w:p>
        </w:tc>
      </w:tr>
      <w:tr>
        <w:tblPrEx>
          <w:tblCellMar>
            <w:top w:w="0" w:type="dxa"/>
            <w:left w:w="108" w:type="dxa"/>
            <w:bottom w:w="0" w:type="dxa"/>
            <w:right w:w="108" w:type="dxa"/>
          </w:tblCellMar>
        </w:tblPrEx>
        <w:trPr>
          <w:trHeight w:val="46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1</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2</w:t>
            </w:r>
          </w:p>
        </w:tc>
        <w:tc>
          <w:tcPr>
            <w:tcW w:w="1794"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3</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4</w:t>
            </w:r>
          </w:p>
        </w:tc>
        <w:tc>
          <w:tcPr>
            <w:tcW w:w="2031" w:type="dxa"/>
            <w:gridSpan w:val="2"/>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5</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6</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7</w:t>
            </w:r>
          </w:p>
        </w:tc>
        <w:tc>
          <w:tcPr>
            <w:tcW w:w="1219"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8</w:t>
            </w:r>
          </w:p>
        </w:tc>
        <w:tc>
          <w:tcPr>
            <w:tcW w:w="1296" w:type="dxa"/>
            <w:gridSpan w:val="2"/>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9</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10</w:t>
            </w:r>
          </w:p>
        </w:tc>
        <w:tc>
          <w:tcPr>
            <w:tcW w:w="124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11</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12</w:t>
            </w:r>
          </w:p>
        </w:tc>
        <w:tc>
          <w:tcPr>
            <w:tcW w:w="1170"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13</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i/>
                <w:iCs/>
                <w:color w:val="000000"/>
                <w:sz w:val="18"/>
                <w:szCs w:val="18"/>
              </w:rPr>
            </w:pPr>
            <w:r>
              <w:rPr>
                <w:rFonts w:ascii="Bookman Old Style" w:hAnsi="Bookman Old Style" w:eastAsia="Times New Roman" w:cs="Calibri"/>
                <w:b/>
                <w:bCs/>
                <w:i/>
                <w:iCs/>
                <w:color w:val="000000"/>
                <w:sz w:val="18"/>
                <w:szCs w:val="18"/>
              </w:rPr>
              <w:t>14</w:t>
            </w:r>
          </w:p>
        </w:tc>
      </w:tr>
      <w:tr>
        <w:tblPrEx>
          <w:tblCellMar>
            <w:top w:w="0" w:type="dxa"/>
            <w:left w:w="108" w:type="dxa"/>
            <w:bottom w:w="0" w:type="dxa"/>
            <w:right w:w="108" w:type="dxa"/>
          </w:tblCellMar>
        </w:tblPrEx>
        <w:trPr>
          <w:trHeight w:val="420" w:hRule="atLeast"/>
        </w:trPr>
        <w:tc>
          <w:tcPr>
            <w:tcW w:w="646" w:type="dxa"/>
            <w:tcBorders>
              <w:top w:val="nil"/>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4868" w:type="dxa"/>
            <w:gridSpan w:val="4"/>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FUNGSI PENUNJANG URUSAN PEMERINTAHAN</w:t>
            </w:r>
          </w:p>
        </w:tc>
        <w:tc>
          <w:tcPr>
            <w:tcW w:w="2024"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27,806,538,882.00</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14.34</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10.74</w:t>
            </w:r>
          </w:p>
        </w:tc>
        <w:tc>
          <w:tcPr>
            <w:tcW w:w="1219"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31.42</w:t>
            </w:r>
          </w:p>
        </w:tc>
        <w:tc>
          <w:tcPr>
            <w:tcW w:w="1276"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23.45</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31.88</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27.44</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22.35</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38.37</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460" w:hRule="atLeast"/>
        </w:trPr>
        <w:tc>
          <w:tcPr>
            <w:tcW w:w="646" w:type="dxa"/>
            <w:tcBorders>
              <w:top w:val="single" w:color="auto" w:sz="4" w:space="0"/>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4868" w:type="dxa"/>
            <w:gridSpan w:val="4"/>
            <w:tcBorders>
              <w:top w:val="nil"/>
              <w:left w:val="nil"/>
              <w:bottom w:val="nil"/>
              <w:right w:val="single" w:color="000000"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KEUANGAN</w:t>
            </w:r>
          </w:p>
        </w:tc>
        <w:tc>
          <w:tcPr>
            <w:tcW w:w="2024"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27,806,538,882.00</w:t>
            </w:r>
          </w:p>
        </w:tc>
        <w:tc>
          <w:tcPr>
            <w:tcW w:w="1113"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14.34</w:t>
            </w:r>
          </w:p>
        </w:tc>
        <w:tc>
          <w:tcPr>
            <w:tcW w:w="1265"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10.74</w:t>
            </w:r>
          </w:p>
        </w:tc>
        <w:tc>
          <w:tcPr>
            <w:tcW w:w="1219"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31.42</w:t>
            </w:r>
          </w:p>
        </w:tc>
        <w:tc>
          <w:tcPr>
            <w:tcW w:w="1276"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23.45</w:t>
            </w:r>
          </w:p>
        </w:tc>
        <w:tc>
          <w:tcPr>
            <w:tcW w:w="1053" w:type="dxa"/>
            <w:gridSpan w:val="2"/>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31.88</w:t>
            </w:r>
          </w:p>
        </w:tc>
        <w:tc>
          <w:tcPr>
            <w:tcW w:w="1263" w:type="dxa"/>
            <w:gridSpan w:val="2"/>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27.44</w:t>
            </w:r>
          </w:p>
        </w:tc>
        <w:tc>
          <w:tcPr>
            <w:tcW w:w="985"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22.35</w:t>
            </w:r>
          </w:p>
        </w:tc>
        <w:tc>
          <w:tcPr>
            <w:tcW w:w="1170"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38.37</w:t>
            </w:r>
          </w:p>
        </w:tc>
        <w:tc>
          <w:tcPr>
            <w:tcW w:w="1075" w:type="dxa"/>
            <w:tcBorders>
              <w:top w:val="nil"/>
              <w:left w:val="nil"/>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PROGRAM PELAYANAN ADMINISTRASI </w:t>
            </w:r>
            <w:r>
              <w:rPr>
                <w:rFonts w:ascii="Bookman Old Style" w:hAnsi="Bookman Old Style" w:eastAsia="Times New Roman" w:cs="Calibri"/>
                <w:b/>
                <w:bCs/>
                <w:color w:val="000000"/>
                <w:sz w:val="18"/>
                <w:szCs w:val="18"/>
              </w:rPr>
              <w:br w:type="textWrapping"/>
            </w:r>
            <w:r>
              <w:rPr>
                <w:rFonts w:ascii="Bookman Old Style" w:hAnsi="Bookman Old Style" w:eastAsia="Times New Roman" w:cs="Calibri"/>
                <w:b/>
                <w:bCs/>
                <w:color w:val="000000"/>
                <w:sz w:val="18"/>
                <w:szCs w:val="18"/>
              </w:rPr>
              <w:t>PERKANTORAN</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Pemenuhan Operasional Perkantoran (%)</w:t>
            </w:r>
          </w:p>
        </w:tc>
        <w:tc>
          <w:tcPr>
            <w:tcW w:w="1120" w:type="dxa"/>
            <w:gridSpan w:val="2"/>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b/>
                <w:bCs/>
                <w:color w:val="000000"/>
                <w:sz w:val="18"/>
                <w:szCs w:val="18"/>
              </w:rPr>
            </w:pPr>
            <w:r>
              <w:rPr>
                <w:rFonts w:ascii="Bookman Old Style" w:hAnsi="Bookman Old Style" w:eastAsia="Times New Roman" w:cs="Arial"/>
                <w:b/>
                <w:bCs/>
                <w:color w:val="000000"/>
                <w:sz w:val="18"/>
                <w:szCs w:val="18"/>
              </w:rPr>
              <w:t>100%</w:t>
            </w:r>
          </w:p>
        </w:tc>
        <w:tc>
          <w:tcPr>
            <w:tcW w:w="20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9,447,796,783.00</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19.95</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14.82%</w:t>
            </w:r>
          </w:p>
        </w:tc>
        <w:tc>
          <w:tcPr>
            <w:tcW w:w="1219"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19.54</w:t>
            </w:r>
          </w:p>
        </w:tc>
        <w:tc>
          <w:tcPr>
            <w:tcW w:w="1276"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24.18%</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30.32</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33.70%</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30.19</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27.30%</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Surat Menyurat</w:t>
            </w:r>
          </w:p>
        </w:tc>
        <w:tc>
          <w:tcPr>
            <w:tcW w:w="179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registrasi surat masuk dan surat keluar (buah)</w:t>
            </w:r>
          </w:p>
        </w:tc>
        <w:tc>
          <w:tcPr>
            <w:tcW w:w="1120" w:type="dxa"/>
            <w:gridSpan w:val="2"/>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8500 buah</w:t>
            </w:r>
          </w:p>
        </w:tc>
        <w:tc>
          <w:tcPr>
            <w:tcW w:w="2024"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251,550,000.00</w:t>
            </w:r>
          </w:p>
        </w:tc>
        <w:tc>
          <w:tcPr>
            <w:tcW w:w="1113"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10.00</w:t>
            </w:r>
          </w:p>
        </w:tc>
        <w:tc>
          <w:tcPr>
            <w:tcW w:w="1265"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10.19%</w:t>
            </w:r>
          </w:p>
        </w:tc>
        <w:tc>
          <w:tcPr>
            <w:tcW w:w="1219"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26.88</w:t>
            </w:r>
          </w:p>
        </w:tc>
        <w:tc>
          <w:tcPr>
            <w:tcW w:w="1276"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6.17%</w:t>
            </w:r>
          </w:p>
        </w:tc>
        <w:tc>
          <w:tcPr>
            <w:tcW w:w="105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33.75</w:t>
            </w:r>
          </w:p>
        </w:tc>
        <w:tc>
          <w:tcPr>
            <w:tcW w:w="126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42.47%</w:t>
            </w:r>
          </w:p>
        </w:tc>
        <w:tc>
          <w:tcPr>
            <w:tcW w:w="985"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29.38</w:t>
            </w:r>
          </w:p>
        </w:tc>
        <w:tc>
          <w:tcPr>
            <w:tcW w:w="1170"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41.17%</w:t>
            </w:r>
          </w:p>
        </w:tc>
        <w:tc>
          <w:tcPr>
            <w:tcW w:w="1075"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Jasa Komunikasi, Sumber  Daya Air Dan Listrik</w:t>
            </w:r>
          </w:p>
        </w:tc>
        <w:tc>
          <w:tcPr>
            <w:tcW w:w="179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Listrik, Air Minum/Air Bersih, Telekomunikasi dan Internet (Bulan)</w:t>
            </w:r>
          </w:p>
        </w:tc>
        <w:tc>
          <w:tcPr>
            <w:tcW w:w="1120" w:type="dxa"/>
            <w:gridSpan w:val="2"/>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12 bulan</w:t>
            </w:r>
          </w:p>
        </w:tc>
        <w:tc>
          <w:tcPr>
            <w:tcW w:w="2024"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302,400,000.00</w:t>
            </w:r>
          </w:p>
        </w:tc>
        <w:tc>
          <w:tcPr>
            <w:tcW w:w="1113"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65"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12.23%</w:t>
            </w:r>
          </w:p>
        </w:tc>
        <w:tc>
          <w:tcPr>
            <w:tcW w:w="1219"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76"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20.26%</w:t>
            </w:r>
          </w:p>
        </w:tc>
        <w:tc>
          <w:tcPr>
            <w:tcW w:w="105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6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41.63%</w:t>
            </w:r>
          </w:p>
        </w:tc>
        <w:tc>
          <w:tcPr>
            <w:tcW w:w="985"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170"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25.88%</w:t>
            </w:r>
          </w:p>
        </w:tc>
        <w:tc>
          <w:tcPr>
            <w:tcW w:w="1075"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Penyediaan Jasa Administrasi Keuangan</w:t>
            </w:r>
          </w:p>
        </w:tc>
        <w:tc>
          <w:tcPr>
            <w:tcW w:w="1794"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barang cetakan yang disediakan (Jenis)</w:t>
            </w:r>
          </w:p>
        </w:tc>
        <w:tc>
          <w:tcPr>
            <w:tcW w:w="112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57 jenis</w:t>
            </w:r>
          </w:p>
        </w:tc>
        <w:tc>
          <w:tcPr>
            <w:tcW w:w="2024"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355,887,800.00</w:t>
            </w:r>
          </w:p>
        </w:tc>
        <w:tc>
          <w:tcPr>
            <w:tcW w:w="1113"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22.97 </w:t>
            </w:r>
          </w:p>
        </w:tc>
        <w:tc>
          <w:tcPr>
            <w:tcW w:w="12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22.19%</w:t>
            </w:r>
          </w:p>
        </w:tc>
        <w:tc>
          <w:tcPr>
            <w:tcW w:w="1219"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25.41</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24.55%</w:t>
            </w:r>
          </w:p>
        </w:tc>
        <w:tc>
          <w:tcPr>
            <w:tcW w:w="1053" w:type="dxa"/>
            <w:gridSpan w:val="2"/>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24.49</w:t>
            </w:r>
          </w:p>
        </w:tc>
        <w:tc>
          <w:tcPr>
            <w:tcW w:w="1263" w:type="dxa"/>
            <w:gridSpan w:val="2"/>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28.82%</w:t>
            </w:r>
          </w:p>
        </w:tc>
        <w:tc>
          <w:tcPr>
            <w:tcW w:w="98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27.14</w:t>
            </w:r>
          </w:p>
        </w:tc>
        <w:tc>
          <w:tcPr>
            <w:tcW w:w="117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24.44%</w:t>
            </w:r>
          </w:p>
        </w:tc>
        <w:tc>
          <w:tcPr>
            <w:tcW w:w="107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 xml:space="preserve">Penyediaan Alat Tulis Kantor </w:t>
            </w:r>
          </w:p>
        </w:tc>
        <w:tc>
          <w:tcPr>
            <w:tcW w:w="179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makanan dan minuman harian Pegawai, Rapat, dan tamu yang disediakan (HOK)</w:t>
            </w:r>
          </w:p>
        </w:tc>
        <w:tc>
          <w:tcPr>
            <w:tcW w:w="1113"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12585 HOK</w:t>
            </w:r>
          </w:p>
        </w:tc>
        <w:tc>
          <w:tcPr>
            <w:tcW w:w="2031" w:type="dxa"/>
            <w:gridSpan w:val="2"/>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223,200,000.00 </w:t>
            </w:r>
          </w:p>
        </w:tc>
        <w:tc>
          <w:tcPr>
            <w:tcW w:w="1113"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20.11%</w:t>
            </w:r>
          </w:p>
        </w:tc>
        <w:tc>
          <w:tcPr>
            <w:tcW w:w="122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71"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31.87%</w:t>
            </w:r>
          </w:p>
        </w:tc>
        <w:tc>
          <w:tcPr>
            <w:tcW w:w="105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6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30.69%</w:t>
            </w:r>
          </w:p>
        </w:tc>
        <w:tc>
          <w:tcPr>
            <w:tcW w:w="98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170"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17.33%</w:t>
            </w:r>
          </w:p>
        </w:tc>
        <w:tc>
          <w:tcPr>
            <w:tcW w:w="1075"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Penyediaan Barang Cetakan Dan Penggandaan</w:t>
            </w:r>
          </w:p>
        </w:tc>
        <w:tc>
          <w:tcPr>
            <w:tcW w:w="179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pejabat pengelola administrasi keuangan (OB)</w:t>
            </w:r>
          </w:p>
        </w:tc>
        <w:tc>
          <w:tcPr>
            <w:tcW w:w="1113"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7032 OB</w:t>
            </w:r>
          </w:p>
        </w:tc>
        <w:tc>
          <w:tcPr>
            <w:tcW w:w="2031" w:type="dxa"/>
            <w:gridSpan w:val="2"/>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6,793,760,400.00 </w:t>
            </w:r>
          </w:p>
        </w:tc>
        <w:tc>
          <w:tcPr>
            <w:tcW w:w="1113"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30.12 </w:t>
            </w:r>
          </w:p>
        </w:tc>
        <w:tc>
          <w:tcPr>
            <w:tcW w:w="126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15.87%</w:t>
            </w:r>
          </w:p>
        </w:tc>
        <w:tc>
          <w:tcPr>
            <w:tcW w:w="122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2.41</w:t>
            </w:r>
          </w:p>
        </w:tc>
        <w:tc>
          <w:tcPr>
            <w:tcW w:w="1271"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21.33%</w:t>
            </w:r>
          </w:p>
        </w:tc>
        <w:tc>
          <w:tcPr>
            <w:tcW w:w="105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28.92</w:t>
            </w:r>
          </w:p>
        </w:tc>
        <w:tc>
          <w:tcPr>
            <w:tcW w:w="126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35.77%</w:t>
            </w:r>
          </w:p>
        </w:tc>
        <w:tc>
          <w:tcPr>
            <w:tcW w:w="98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38.55</w:t>
            </w:r>
          </w:p>
        </w:tc>
        <w:tc>
          <w:tcPr>
            <w:tcW w:w="1170"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27.03%</w:t>
            </w:r>
          </w:p>
        </w:tc>
        <w:tc>
          <w:tcPr>
            <w:tcW w:w="1075"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sz w:val="18"/>
                <w:szCs w:val="18"/>
              </w:rPr>
            </w:pPr>
            <w:r>
              <w:rPr>
                <w:rFonts w:ascii="Bookman Old Style" w:hAnsi="Bookman Old Style" w:eastAsia="Times New Roman" w:cs="Calibri"/>
                <w:sz w:val="18"/>
                <w:szCs w:val="18"/>
              </w:rPr>
              <w:t>Penyediaan Komponen Instalasi Listrik/ Penerangan Bangunan Kantor</w:t>
            </w:r>
          </w:p>
        </w:tc>
        <w:tc>
          <w:tcPr>
            <w:tcW w:w="179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dalam daerah (HOK)</w:t>
            </w:r>
          </w:p>
        </w:tc>
        <w:tc>
          <w:tcPr>
            <w:tcW w:w="1113"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768 HOK</w:t>
            </w:r>
          </w:p>
        </w:tc>
        <w:tc>
          <w:tcPr>
            <w:tcW w:w="2031" w:type="dxa"/>
            <w:gridSpan w:val="2"/>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315,577,750.00 </w:t>
            </w:r>
          </w:p>
        </w:tc>
        <w:tc>
          <w:tcPr>
            <w:tcW w:w="1113"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22.39 </w:t>
            </w:r>
          </w:p>
        </w:tc>
        <w:tc>
          <w:tcPr>
            <w:tcW w:w="126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16.61%</w:t>
            </w:r>
          </w:p>
        </w:tc>
        <w:tc>
          <w:tcPr>
            <w:tcW w:w="122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32.84</w:t>
            </w:r>
          </w:p>
        </w:tc>
        <w:tc>
          <w:tcPr>
            <w:tcW w:w="1271"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43.20%</w:t>
            </w:r>
          </w:p>
        </w:tc>
        <w:tc>
          <w:tcPr>
            <w:tcW w:w="105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44.78</w:t>
            </w:r>
          </w:p>
        </w:tc>
        <w:tc>
          <w:tcPr>
            <w:tcW w:w="126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40.20%</w:t>
            </w:r>
          </w:p>
        </w:tc>
        <w:tc>
          <w:tcPr>
            <w:tcW w:w="98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170"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075"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Bahan Bacaan Dan Peraturan Perundang-Undangan</w:t>
            </w:r>
          </w:p>
        </w:tc>
        <w:tc>
          <w:tcPr>
            <w:tcW w:w="179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logistik kantor yang disediakan (jenis)</w:t>
            </w:r>
          </w:p>
        </w:tc>
        <w:tc>
          <w:tcPr>
            <w:tcW w:w="1113"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11 jenis</w:t>
            </w:r>
          </w:p>
        </w:tc>
        <w:tc>
          <w:tcPr>
            <w:tcW w:w="2031" w:type="dxa"/>
            <w:gridSpan w:val="2"/>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74,960,000.00 </w:t>
            </w:r>
          </w:p>
        </w:tc>
        <w:tc>
          <w:tcPr>
            <w:tcW w:w="1113"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10.00%</w:t>
            </w:r>
          </w:p>
        </w:tc>
        <w:tc>
          <w:tcPr>
            <w:tcW w:w="122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71"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20.20%</w:t>
            </w:r>
          </w:p>
        </w:tc>
        <w:tc>
          <w:tcPr>
            <w:tcW w:w="105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6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26.53%</w:t>
            </w:r>
          </w:p>
        </w:tc>
        <w:tc>
          <w:tcPr>
            <w:tcW w:w="98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170"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43.27%</w:t>
            </w:r>
          </w:p>
        </w:tc>
        <w:tc>
          <w:tcPr>
            <w:tcW w:w="1075"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Bahan Logistik Kantor</w:t>
            </w:r>
          </w:p>
        </w:tc>
        <w:tc>
          <w:tcPr>
            <w:tcW w:w="179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alat tulis kantor yang disediakan (Jenis)</w:t>
            </w:r>
          </w:p>
        </w:tc>
        <w:tc>
          <w:tcPr>
            <w:tcW w:w="1113"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75 jenis</w:t>
            </w:r>
          </w:p>
        </w:tc>
        <w:tc>
          <w:tcPr>
            <w:tcW w:w="2031" w:type="dxa"/>
            <w:gridSpan w:val="2"/>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400,077,000.00 </w:t>
            </w:r>
          </w:p>
        </w:tc>
        <w:tc>
          <w:tcPr>
            <w:tcW w:w="1113"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33.33 </w:t>
            </w:r>
          </w:p>
        </w:tc>
        <w:tc>
          <w:tcPr>
            <w:tcW w:w="126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20.26%</w:t>
            </w:r>
          </w:p>
        </w:tc>
        <w:tc>
          <w:tcPr>
            <w:tcW w:w="122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33.33</w:t>
            </w:r>
          </w:p>
        </w:tc>
        <w:tc>
          <w:tcPr>
            <w:tcW w:w="1271"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33.20%</w:t>
            </w:r>
          </w:p>
        </w:tc>
        <w:tc>
          <w:tcPr>
            <w:tcW w:w="105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6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22.01%</w:t>
            </w:r>
          </w:p>
        </w:tc>
        <w:tc>
          <w:tcPr>
            <w:tcW w:w="98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33.33</w:t>
            </w:r>
          </w:p>
        </w:tc>
        <w:tc>
          <w:tcPr>
            <w:tcW w:w="1170"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24.53%</w:t>
            </w:r>
          </w:p>
        </w:tc>
        <w:tc>
          <w:tcPr>
            <w:tcW w:w="1075"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Penyediaan Makan Dan Minum</w:t>
            </w:r>
          </w:p>
        </w:tc>
        <w:tc>
          <w:tcPr>
            <w:tcW w:w="179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memenuhi penugasan dinas ke luar daerah (HOK)</w:t>
            </w:r>
          </w:p>
        </w:tc>
        <w:tc>
          <w:tcPr>
            <w:tcW w:w="1113"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568 HOK</w:t>
            </w:r>
          </w:p>
        </w:tc>
        <w:tc>
          <w:tcPr>
            <w:tcW w:w="2031" w:type="dxa"/>
            <w:gridSpan w:val="2"/>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483,417,000.00 </w:t>
            </w:r>
          </w:p>
        </w:tc>
        <w:tc>
          <w:tcPr>
            <w:tcW w:w="1113"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11.35 </w:t>
            </w:r>
          </w:p>
        </w:tc>
        <w:tc>
          <w:tcPr>
            <w:tcW w:w="126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13.83%</w:t>
            </w:r>
          </w:p>
        </w:tc>
        <w:tc>
          <w:tcPr>
            <w:tcW w:w="122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10.45</w:t>
            </w:r>
          </w:p>
        </w:tc>
        <w:tc>
          <w:tcPr>
            <w:tcW w:w="1271"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12.73%</w:t>
            </w:r>
          </w:p>
        </w:tc>
        <w:tc>
          <w:tcPr>
            <w:tcW w:w="105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38.92</w:t>
            </w:r>
          </w:p>
        </w:tc>
        <w:tc>
          <w:tcPr>
            <w:tcW w:w="126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47.42%</w:t>
            </w:r>
          </w:p>
        </w:tc>
        <w:tc>
          <w:tcPr>
            <w:tcW w:w="98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39.28</w:t>
            </w:r>
          </w:p>
        </w:tc>
        <w:tc>
          <w:tcPr>
            <w:tcW w:w="1170"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26.02%</w:t>
            </w:r>
          </w:p>
        </w:tc>
        <w:tc>
          <w:tcPr>
            <w:tcW w:w="1075"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Rapat-rapat Koordinasi Dan Konsultasi Ke Luar Daerah</w:t>
            </w:r>
          </w:p>
        </w:tc>
        <w:tc>
          <w:tcPr>
            <w:tcW w:w="1794"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Bahan Bacaan dan Peraturan Perundang-Undangan yang disediakan (jenis)</w:t>
            </w:r>
          </w:p>
        </w:tc>
        <w:tc>
          <w:tcPr>
            <w:tcW w:w="1113" w:type="dxa"/>
            <w:tcBorders>
              <w:top w:val="nil"/>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2 jenis</w:t>
            </w:r>
          </w:p>
        </w:tc>
        <w:tc>
          <w:tcPr>
            <w:tcW w:w="2031" w:type="dxa"/>
            <w:gridSpan w:val="2"/>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126,720,000.00 </w:t>
            </w:r>
          </w:p>
        </w:tc>
        <w:tc>
          <w:tcPr>
            <w:tcW w:w="1113"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10.00%</w:t>
            </w:r>
          </w:p>
        </w:tc>
        <w:tc>
          <w:tcPr>
            <w:tcW w:w="1224"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71"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25.40%</w:t>
            </w:r>
          </w:p>
        </w:tc>
        <w:tc>
          <w:tcPr>
            <w:tcW w:w="105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41.60</w:t>
            </w:r>
          </w:p>
        </w:tc>
        <w:tc>
          <w:tcPr>
            <w:tcW w:w="1263" w:type="dxa"/>
            <w:gridSpan w:val="2"/>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27.01%</w:t>
            </w:r>
          </w:p>
        </w:tc>
        <w:tc>
          <w:tcPr>
            <w:tcW w:w="985"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58.40</w:t>
            </w:r>
          </w:p>
        </w:tc>
        <w:tc>
          <w:tcPr>
            <w:tcW w:w="1170" w:type="dxa"/>
            <w:tcBorders>
              <w:top w:val="nil"/>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37.59%</w:t>
            </w:r>
          </w:p>
        </w:tc>
        <w:tc>
          <w:tcPr>
            <w:tcW w:w="1075" w:type="dxa"/>
            <w:tcBorders>
              <w:top w:val="nil"/>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Rapat-rapat Koordinasi Dan Konsultasi Ke Dalam Daerah</w:t>
            </w:r>
          </w:p>
        </w:tc>
        <w:tc>
          <w:tcPr>
            <w:tcW w:w="1794"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komponen alat-alat listrik dan elektronik (Jenis)</w:t>
            </w:r>
          </w:p>
        </w:tc>
        <w:tc>
          <w:tcPr>
            <w:tcW w:w="111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40 jenis</w:t>
            </w:r>
          </w:p>
        </w:tc>
        <w:tc>
          <w:tcPr>
            <w:tcW w:w="2031" w:type="dxa"/>
            <w:gridSpan w:val="2"/>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120,246,833.00 </w:t>
            </w:r>
          </w:p>
        </w:tc>
        <w:tc>
          <w:tcPr>
            <w:tcW w:w="1113"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14.30 </w:t>
            </w:r>
          </w:p>
        </w:tc>
        <w:tc>
          <w:tcPr>
            <w:tcW w:w="126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11.77%</w:t>
            </w:r>
          </w:p>
        </w:tc>
        <w:tc>
          <w:tcPr>
            <w:tcW w:w="1224"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8.61</w:t>
            </w:r>
          </w:p>
        </w:tc>
        <w:tc>
          <w:tcPr>
            <w:tcW w:w="1271"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27.05%</w:t>
            </w:r>
          </w:p>
        </w:tc>
        <w:tc>
          <w:tcPr>
            <w:tcW w:w="1053" w:type="dxa"/>
            <w:gridSpan w:val="2"/>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46.08</w:t>
            </w:r>
          </w:p>
        </w:tc>
        <w:tc>
          <w:tcPr>
            <w:tcW w:w="1263" w:type="dxa"/>
            <w:gridSpan w:val="2"/>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28.12%</w:t>
            </w:r>
          </w:p>
        </w:tc>
        <w:tc>
          <w:tcPr>
            <w:tcW w:w="98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31.01</w:t>
            </w:r>
          </w:p>
        </w:tc>
        <w:tc>
          <w:tcPr>
            <w:tcW w:w="1170"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33.06%</w:t>
            </w:r>
          </w:p>
        </w:tc>
        <w:tc>
          <w:tcPr>
            <w:tcW w:w="1075" w:type="dxa"/>
            <w:tcBorders>
              <w:top w:val="single" w:color="auto" w:sz="4" w:space="0"/>
              <w:left w:val="nil"/>
              <w:bottom w:val="single" w:color="auto" w:sz="4" w:space="0"/>
              <w:right w:val="single" w:color="auto" w:sz="4" w:space="0"/>
            </w:tcBorders>
            <w:shd w:val="clear" w:color="auto" w:fill="auto"/>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SARANA DAN PRASARANA APARATUR</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Pemenuhan Sarana dan Prasarana Penunjang Aparatur (%)</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b/>
                <w:bCs/>
                <w:color w:val="000000"/>
                <w:sz w:val="18"/>
                <w:szCs w:val="18"/>
              </w:rPr>
            </w:pPr>
            <w:r>
              <w:rPr>
                <w:rFonts w:ascii="Bookman Old Style" w:hAnsi="Bookman Old Style" w:eastAsia="Times New Roman" w:cs="Arial"/>
                <w:b/>
                <w:bCs/>
                <w:color w:val="000000"/>
                <w:sz w:val="18"/>
                <w:szCs w:val="18"/>
              </w:rPr>
              <w:t>100%</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1,021,785,956.00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4.71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2.43%</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33.52 </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37.73%</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21.63 </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31.33%</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40.13 </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28.51%</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Kendaraan Dinas/Operasional</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gedung kantor yang dipelihara Rutin/Berkala ( jenis)</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5 jenis</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211,083,759.00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14.89</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65.16%</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10.05%</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85.11</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24.79%</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Perlengkapan Gedung Kantor</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roda empat dan kendaraan roda dua yang dipelihara rutin dan berkala (Unit)</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309 unit</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450,722,197.00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45.45</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44.25%</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54.55</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55.75%</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Peralatan Gedung Kantor</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Kantoryang dipelihara Rutin/Berkala (jenis)</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7 jenis</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91,000,000.00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21.43</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30.82%</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21.43</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48.85%</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57.14</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20.32%</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 Berkala Gedung Kantor</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Mebeleur yang dipelihara Rutin/Berkala (jenis)</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12 jenis</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49,980,000.00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21.43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11.80%</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50.00</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28.91%</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21.43</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26.68%</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7.14</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32.61%</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Pemeliharaan Rutin/ Berkala Kendaraan Dinas/Operasional </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Peralatan Gedung Kantor yang diadakan ( jenis)</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7 jenis</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31,400,000.00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11.56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5.18%</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28.32</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19.20%</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23.12</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49.49%</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36.99</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26.13%</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 Berkala Peralatan Gedung Kantor</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kendaraan Dinas/Operasional Roda 2 Baru yang diadakan (Unit)</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2 unit</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78,600,000.00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100.00</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100.00%</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nil"/>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Pemeliharaan Rutin/ Berkala Mebeleur</w:t>
            </w:r>
          </w:p>
        </w:tc>
        <w:tc>
          <w:tcPr>
            <w:tcW w:w="1794" w:type="dxa"/>
            <w:tcBorders>
              <w:top w:val="single" w:color="auto" w:sz="4" w:space="0"/>
              <w:left w:val="nil"/>
              <w:bottom w:val="nil"/>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Perlengkapan Gedung Kantor yang diadakan( jenis)</w:t>
            </w:r>
          </w:p>
        </w:tc>
        <w:tc>
          <w:tcPr>
            <w:tcW w:w="1113" w:type="dxa"/>
            <w:tcBorders>
              <w:top w:val="single" w:color="auto" w:sz="4" w:space="0"/>
              <w:left w:val="nil"/>
              <w:bottom w:val="nil"/>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6 jenis</w:t>
            </w:r>
          </w:p>
        </w:tc>
        <w:tc>
          <w:tcPr>
            <w:tcW w:w="2031" w:type="dxa"/>
            <w:gridSpan w:val="2"/>
            <w:tcBorders>
              <w:top w:val="single" w:color="auto" w:sz="4" w:space="0"/>
              <w:left w:val="nil"/>
              <w:bottom w:val="nil"/>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109,000,000.00 </w:t>
            </w:r>
          </w:p>
        </w:tc>
        <w:tc>
          <w:tcPr>
            <w:tcW w:w="1113" w:type="dxa"/>
            <w:tcBorders>
              <w:top w:val="single" w:color="auto" w:sz="4" w:space="0"/>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single" w:color="auto" w:sz="4" w:space="0"/>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24" w:type="dxa"/>
            <w:tcBorders>
              <w:top w:val="single" w:color="auto" w:sz="4" w:space="0"/>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20.00</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20.00%</w:t>
            </w:r>
          </w:p>
        </w:tc>
        <w:tc>
          <w:tcPr>
            <w:tcW w:w="1053" w:type="dxa"/>
            <w:gridSpan w:val="2"/>
            <w:tcBorders>
              <w:top w:val="single" w:color="auto" w:sz="4" w:space="0"/>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40.00</w:t>
            </w:r>
          </w:p>
        </w:tc>
        <w:tc>
          <w:tcPr>
            <w:tcW w:w="1263" w:type="dxa"/>
            <w:gridSpan w:val="2"/>
            <w:tcBorders>
              <w:top w:val="single" w:color="auto" w:sz="4" w:space="0"/>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40.00%</w:t>
            </w:r>
          </w:p>
        </w:tc>
        <w:tc>
          <w:tcPr>
            <w:tcW w:w="985" w:type="dxa"/>
            <w:tcBorders>
              <w:top w:val="single" w:color="auto" w:sz="4" w:space="0"/>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40.00</w:t>
            </w:r>
          </w:p>
        </w:tc>
        <w:tc>
          <w:tcPr>
            <w:tcW w:w="1170" w:type="dxa"/>
            <w:tcBorders>
              <w:top w:val="single" w:color="auto" w:sz="4" w:space="0"/>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40.00%</w:t>
            </w:r>
          </w:p>
        </w:tc>
        <w:tc>
          <w:tcPr>
            <w:tcW w:w="1075" w:type="dxa"/>
            <w:tcBorders>
              <w:top w:val="single" w:color="auto" w:sz="4" w:space="0"/>
              <w:left w:val="nil"/>
              <w:bottom w:val="nil"/>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w:t>
            </w:r>
          </w:p>
        </w:tc>
        <w:tc>
          <w:tcPr>
            <w:tcW w:w="195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DISIPLIN APARATUR</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Penunjang Kerja Aparatur (%)</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b/>
                <w:bCs/>
                <w:color w:val="000000"/>
                <w:sz w:val="18"/>
                <w:szCs w:val="18"/>
              </w:rPr>
            </w:pPr>
            <w:r>
              <w:rPr>
                <w:rFonts w:ascii="Bookman Old Style" w:hAnsi="Bookman Old Style" w:eastAsia="Times New Roman" w:cs="Arial"/>
                <w:b/>
                <w:bCs/>
                <w:color w:val="000000"/>
                <w:sz w:val="18"/>
                <w:szCs w:val="18"/>
              </w:rPr>
              <w:t>100%</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124,827,472.00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100 </w:t>
            </w:r>
          </w:p>
        </w:tc>
        <w:tc>
          <w:tcPr>
            <w:tcW w:w="1271" w:type="dxa"/>
            <w:tcBorders>
              <w:top w:val="single" w:color="auto" w:sz="4" w:space="0"/>
              <w:left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0.00%</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100.00%</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0.00%</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Pakaian Dinas Beserta Perlengkapannya</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Olahraga/Batik (Stel)</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350 stel</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124,827,472.00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271" w:type="dxa"/>
            <w:tcBorders>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100.00%</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nil"/>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Pengadaan Pakaian Khusus Hari-hari Tertentu</w:t>
            </w:r>
          </w:p>
        </w:tc>
        <w:tc>
          <w:tcPr>
            <w:tcW w:w="1794" w:type="dxa"/>
            <w:tcBorders>
              <w:top w:val="nil"/>
              <w:left w:val="nil"/>
              <w:bottom w:val="nil"/>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penyediaan Pakaian Dinas (Stel)</w:t>
            </w:r>
          </w:p>
        </w:tc>
        <w:tc>
          <w:tcPr>
            <w:tcW w:w="1113" w:type="dxa"/>
            <w:tcBorders>
              <w:top w:val="nil"/>
              <w:left w:val="nil"/>
              <w:bottom w:val="nil"/>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350 stel</w:t>
            </w:r>
          </w:p>
        </w:tc>
        <w:tc>
          <w:tcPr>
            <w:tcW w:w="2031" w:type="dxa"/>
            <w:gridSpan w:val="2"/>
            <w:tcBorders>
              <w:top w:val="nil"/>
              <w:left w:val="nil"/>
              <w:bottom w:val="nil"/>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113"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5"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224"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71"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053" w:type="dxa"/>
            <w:gridSpan w:val="2"/>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263" w:type="dxa"/>
            <w:gridSpan w:val="2"/>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985"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170"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w:t>
            </w:r>
          </w:p>
        </w:tc>
        <w:tc>
          <w:tcPr>
            <w:tcW w:w="1075" w:type="dxa"/>
            <w:tcBorders>
              <w:top w:val="nil"/>
              <w:left w:val="nil"/>
              <w:bottom w:val="nil"/>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KAPASITAS SUMBER DAYA APARATUR</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Peningkatan Kapasitas Pegawai di Perangkat Daerah (%)</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b/>
                <w:bCs/>
                <w:color w:val="000000"/>
                <w:sz w:val="18"/>
                <w:szCs w:val="18"/>
              </w:rPr>
            </w:pPr>
            <w:r>
              <w:rPr>
                <w:rFonts w:ascii="Bookman Old Style" w:hAnsi="Bookman Old Style" w:eastAsia="Times New Roman" w:cs="Arial"/>
                <w:b/>
                <w:bCs/>
                <w:color w:val="000000"/>
                <w:sz w:val="18"/>
                <w:szCs w:val="18"/>
              </w:rPr>
              <w:t>100%</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58,136,000.00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0.00%</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100.00%</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0.00%</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nil"/>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Pendidikan Dan Pelatian Formal </w:t>
            </w:r>
          </w:p>
        </w:tc>
        <w:tc>
          <w:tcPr>
            <w:tcW w:w="1794" w:type="dxa"/>
            <w:tcBorders>
              <w:top w:val="nil"/>
              <w:left w:val="nil"/>
              <w:bottom w:val="nil"/>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Pegawai yang mengikuti pelatihan ( orang)</w:t>
            </w:r>
          </w:p>
        </w:tc>
        <w:tc>
          <w:tcPr>
            <w:tcW w:w="1113" w:type="dxa"/>
            <w:tcBorders>
              <w:top w:val="nil"/>
              <w:left w:val="nil"/>
              <w:bottom w:val="nil"/>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100 orang</w:t>
            </w:r>
          </w:p>
        </w:tc>
        <w:tc>
          <w:tcPr>
            <w:tcW w:w="2031" w:type="dxa"/>
            <w:gridSpan w:val="2"/>
            <w:tcBorders>
              <w:top w:val="nil"/>
              <w:left w:val="nil"/>
              <w:bottom w:val="nil"/>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58,136,000.00 </w:t>
            </w:r>
          </w:p>
        </w:tc>
        <w:tc>
          <w:tcPr>
            <w:tcW w:w="1113"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24"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71"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053" w:type="dxa"/>
            <w:gridSpan w:val="2"/>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63" w:type="dxa"/>
            <w:gridSpan w:val="2"/>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100.00%</w:t>
            </w:r>
          </w:p>
        </w:tc>
        <w:tc>
          <w:tcPr>
            <w:tcW w:w="985"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170"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075" w:type="dxa"/>
            <w:tcBorders>
              <w:top w:val="nil"/>
              <w:left w:val="nil"/>
              <w:bottom w:val="nil"/>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PENINGKATAN PENGEMBANGAN SISTEM PELAPORAN CAPAIAN KINERJA DAN KEUANGAN</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Dokumen Perencanaan, Laporan Keuangan dan Kinerja Perangkat Daerah yang Tepat Waktu (%)</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b/>
                <w:bCs/>
                <w:color w:val="000000"/>
                <w:sz w:val="18"/>
                <w:szCs w:val="18"/>
              </w:rPr>
            </w:pPr>
            <w:r>
              <w:rPr>
                <w:rFonts w:ascii="Bookman Old Style" w:hAnsi="Bookman Old Style" w:eastAsia="Times New Roman" w:cs="Arial"/>
                <w:b/>
                <w:bCs/>
                <w:color w:val="000000"/>
                <w:sz w:val="18"/>
                <w:szCs w:val="18"/>
              </w:rPr>
              <w:t>100%</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76,081,000.00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0.00%</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33.33</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26.61%</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25.00</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48.12%</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41.67</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25.27%</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Laporan Capaian Kinerja Dan Ikhtisar Realisasi Kinerja SKPD</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Tahunan (Buku)</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48 buku</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23,976,000.00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60.59%</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14.41%</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Laporan Keuangan Semesteran</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semester I dan semester II (Buku)</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4 buku</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22,020,000.00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54.84%</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34.41%</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10.75%</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nil"/>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Pelaporan Keuangan Akhir Tahun</w:t>
            </w:r>
          </w:p>
        </w:tc>
        <w:tc>
          <w:tcPr>
            <w:tcW w:w="1794" w:type="dxa"/>
            <w:tcBorders>
              <w:top w:val="nil"/>
              <w:left w:val="nil"/>
              <w:bottom w:val="nil"/>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keuangan akhir (Buku)</w:t>
            </w:r>
          </w:p>
        </w:tc>
        <w:tc>
          <w:tcPr>
            <w:tcW w:w="1113" w:type="dxa"/>
            <w:tcBorders>
              <w:top w:val="nil"/>
              <w:left w:val="nil"/>
              <w:bottom w:val="nil"/>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 buku</w:t>
            </w:r>
          </w:p>
        </w:tc>
        <w:tc>
          <w:tcPr>
            <w:tcW w:w="2031" w:type="dxa"/>
            <w:gridSpan w:val="2"/>
            <w:tcBorders>
              <w:top w:val="nil"/>
              <w:left w:val="nil"/>
              <w:bottom w:val="nil"/>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30,085,000.00 </w:t>
            </w:r>
          </w:p>
        </w:tc>
        <w:tc>
          <w:tcPr>
            <w:tcW w:w="1113"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24"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71"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053" w:type="dxa"/>
            <w:gridSpan w:val="2"/>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w:t>
            </w:r>
          </w:p>
        </w:tc>
        <w:tc>
          <w:tcPr>
            <w:tcW w:w="1263" w:type="dxa"/>
            <w:gridSpan w:val="2"/>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49.35%</w:t>
            </w:r>
          </w:p>
        </w:tc>
        <w:tc>
          <w:tcPr>
            <w:tcW w:w="985"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100</w:t>
            </w:r>
          </w:p>
        </w:tc>
        <w:tc>
          <w:tcPr>
            <w:tcW w:w="1170"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50.65%</w:t>
            </w:r>
          </w:p>
        </w:tc>
        <w:tc>
          <w:tcPr>
            <w:tcW w:w="1075" w:type="dxa"/>
            <w:tcBorders>
              <w:top w:val="nil"/>
              <w:left w:val="nil"/>
              <w:bottom w:val="nil"/>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6</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PROGRAM PELAYANAN DAN PENINGKATAN PENERIMAAN PAJAK BPHTB DAN BUMD</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Persentase Tingkat pelayanan penerimaan BPHTB</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b/>
                <w:bCs/>
                <w:color w:val="000000"/>
                <w:sz w:val="18"/>
                <w:szCs w:val="18"/>
              </w:rPr>
            </w:pPr>
            <w:r>
              <w:rPr>
                <w:rFonts w:ascii="Bookman Old Style" w:hAnsi="Bookman Old Style" w:eastAsia="Times New Roman" w:cs="Arial"/>
                <w:b/>
                <w:bCs/>
                <w:color w:val="000000"/>
                <w:sz w:val="18"/>
                <w:szCs w:val="18"/>
              </w:rPr>
              <w:t>100%</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2,781,250,361.00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25.00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10.89%</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25.00 </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18.32%</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25.00 </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18.52%</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25.00 </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52.27%</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Pelayanan Dan Penelitian BPHTB</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pengajuan permoohonan Wajib Pajak untuk pembayaran BPHTB yang terlayani dan di teliti</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100%</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1,067,654,911.00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11.03%</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24.09%</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19.84%</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45.04%</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Verifikasi dan Validasi</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jumlah pengajuan permohonan wajib pajak untuk pembayaran BPHTB yang terferivikasi dan validasi</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100%</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1,206,671,200.00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nil"/>
              <w:left w:val="nil"/>
              <w:bottom w:val="single" w:color="auto" w:sz="4" w:space="0"/>
              <w:right w:val="single" w:color="auto" w:sz="4" w:space="0"/>
            </w:tcBorders>
            <w:shd w:val="clear" w:color="000000" w:fill="FFFFFF"/>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10.48%</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17.52%</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15.01%</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56.99%</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Pembukuan BPHTB dan BUMD</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pembukuan BPHTB dan BUMD</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27 buku</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506,924,250.00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11.17%</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13.35%</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20.70%</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54.78%</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sz w:val="18"/>
                <w:szCs w:val="18"/>
              </w:rPr>
            </w:pPr>
            <w:r>
              <w:rPr>
                <w:rFonts w:ascii="Bookman Old Style" w:hAnsi="Bookman Old Style" w:eastAsia="Times New Roman" w:cs="Calibri"/>
                <w:b/>
                <w:bCs/>
                <w:sz w:val="18"/>
                <w:szCs w:val="18"/>
              </w:rPr>
              <w:t>7</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sz w:val="18"/>
                <w:szCs w:val="18"/>
              </w:rPr>
            </w:pPr>
            <w:r>
              <w:rPr>
                <w:rFonts w:ascii="Bookman Old Style" w:hAnsi="Bookman Old Style" w:eastAsia="Times New Roman" w:cs="Calibri"/>
                <w:b/>
                <w:bCs/>
                <w:sz w:val="18"/>
                <w:szCs w:val="18"/>
              </w:rPr>
              <w:t>PROGRAM PELAYANAN DAN PENINGKATAN PENERIMAAN PBB PERDESAAN DAN PERKOTAAN</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Layanan PBB</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b/>
                <w:bCs/>
                <w:color w:val="000000"/>
                <w:sz w:val="18"/>
                <w:szCs w:val="18"/>
              </w:rPr>
            </w:pPr>
            <w:r>
              <w:rPr>
                <w:rFonts w:ascii="Bookman Old Style" w:hAnsi="Bookman Old Style" w:eastAsia="Times New Roman" w:cs="Arial"/>
                <w:b/>
                <w:bCs/>
                <w:color w:val="000000"/>
                <w:sz w:val="18"/>
                <w:szCs w:val="18"/>
              </w:rPr>
              <w:t>100%</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sz w:val="18"/>
                <w:szCs w:val="18"/>
              </w:rPr>
            </w:pPr>
            <w:r>
              <w:rPr>
                <w:rFonts w:ascii="Bookman Old Style" w:hAnsi="Bookman Old Style" w:eastAsia="Times New Roman" w:cs="Calibri"/>
                <w:b/>
                <w:bCs/>
                <w:sz w:val="18"/>
                <w:szCs w:val="18"/>
              </w:rPr>
              <w:t xml:space="preserve">            6,926,419,016.00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36.08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8.89%</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17.25 </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21.90%</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30.00 </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26.49%</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16.67 </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42.71%</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sz w:val="18"/>
                <w:szCs w:val="18"/>
              </w:rPr>
            </w:pPr>
            <w:r>
              <w:rPr>
                <w:rFonts w:ascii="Bookman Old Style" w:hAnsi="Bookman Old Style" w:eastAsia="Times New Roman" w:cs="Calibri"/>
                <w:b/>
                <w:bCs/>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Optimalisasi Penerimaan PBB - P2</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Persentase Penerimaan PBB P2</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100%</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2,431,920,669.00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6.50</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7.98%</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13.50</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45.73%</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60.00</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13.33%</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20.00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32.96%</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Pencetakan Massal Dan Individual SPPT PBB - P2</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Penerbitan SPPT PBB P2</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1392226 op</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1,154,838,826.00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85.00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20.49%</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5.00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42.80%</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19.77%</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16.94%</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Monitoring, Evaluasi Dan Pelaporan Perkembangan Penerimaan PBB - P2</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Desa/Kelurahan di 33 Kecamatan yang dilakukan kegiatan Monitoring dan evaluasi perkembangan penerimaan PBB P2 Jumlah laporan penerimaan mingguan PBB P2 dalam 1 tahun</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390 Desa</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755,100,693.00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2.88%</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30.00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5.81%</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50.00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22.93%</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68.38%</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Pengelolaan Data Base Objek Dan Subjek PBB - P2</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Pemeliharaan dan Pengembangan Sistem PBB P2</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 aplikasi SIM PBB</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1,085,338,431.00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0.00%</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20.00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9.76%</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40.00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47.20%</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40.00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43.04%</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Pekan Panutan Dan Pendistribusian SPPT </w:t>
            </w:r>
            <w:r>
              <w:rPr>
                <w:rFonts w:ascii="Bookman Old Style" w:hAnsi="Bookman Old Style" w:eastAsia="Times New Roman" w:cs="Calibri"/>
                <w:color w:val="000000"/>
                <w:sz w:val="18"/>
                <w:szCs w:val="18"/>
              </w:rPr>
              <w:br w:type="textWrapping"/>
            </w:r>
            <w:r>
              <w:rPr>
                <w:rFonts w:ascii="Bookman Old Style" w:hAnsi="Bookman Old Style" w:eastAsia="Times New Roman" w:cs="Calibri"/>
                <w:color w:val="000000"/>
                <w:sz w:val="18"/>
                <w:szCs w:val="18"/>
              </w:rPr>
              <w:t>PBB - P2</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Jumlah Kegiatan Pekan Panutan - Jumlah SPPT PBB P2 yang didistribusikan</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1519390 op</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421,027,400.00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90.00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20.07%</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10.00 </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25.67%</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42.78%</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11.47%</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bottom"/>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Pembentukan Dan Pemeliharaan Basis Data PBB - P2</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Jumlah Desa yang dilakukan pembentukan basis data - Jumlah Desa yang dilakukan pemeliharaan Basis data</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33 desa</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1,078,192,997.00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1.92%</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1.66%</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12.95%</w:t>
            </w:r>
          </w:p>
        </w:tc>
        <w:tc>
          <w:tcPr>
            <w:tcW w:w="985"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nil"/>
              <w:left w:val="nil"/>
              <w:bottom w:val="nil"/>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83.47%</w:t>
            </w:r>
          </w:p>
        </w:tc>
        <w:tc>
          <w:tcPr>
            <w:tcW w:w="1075" w:type="dxa"/>
            <w:tcBorders>
              <w:top w:val="nil"/>
              <w:left w:val="nil"/>
              <w:bottom w:val="nil"/>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sz w:val="18"/>
                <w:szCs w:val="18"/>
              </w:rPr>
            </w:pPr>
            <w:r>
              <w:rPr>
                <w:rFonts w:ascii="Bookman Old Style" w:hAnsi="Bookman Old Style" w:eastAsia="Times New Roman" w:cs="Calibri"/>
                <w:b/>
                <w:bCs/>
                <w:sz w:val="18"/>
                <w:szCs w:val="18"/>
              </w:rPr>
              <w:t>8</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sz w:val="18"/>
                <w:szCs w:val="18"/>
              </w:rPr>
            </w:pPr>
            <w:r>
              <w:rPr>
                <w:rFonts w:ascii="Bookman Old Style" w:hAnsi="Bookman Old Style" w:eastAsia="Times New Roman" w:cs="Calibri"/>
                <w:b/>
                <w:bCs/>
                <w:sz w:val="18"/>
                <w:szCs w:val="18"/>
              </w:rPr>
              <w:t>PROGRAM PENGAWASAN DAN PENINGKATAN PENERIMAAN DAERAH</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Pengawasan Penerimaan Daerah</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b/>
                <w:bCs/>
                <w:color w:val="000000"/>
                <w:sz w:val="18"/>
                <w:szCs w:val="18"/>
              </w:rPr>
            </w:pPr>
            <w:r>
              <w:rPr>
                <w:rFonts w:ascii="Bookman Old Style" w:hAnsi="Bookman Old Style" w:eastAsia="Times New Roman" w:cs="Arial"/>
                <w:b/>
                <w:bCs/>
                <w:color w:val="000000"/>
                <w:sz w:val="18"/>
                <w:szCs w:val="18"/>
              </w:rPr>
              <w:t>100%</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sz w:val="18"/>
                <w:szCs w:val="18"/>
              </w:rPr>
            </w:pPr>
            <w:r>
              <w:rPr>
                <w:rFonts w:ascii="Bookman Old Style" w:hAnsi="Bookman Old Style" w:eastAsia="Times New Roman" w:cs="Calibri"/>
                <w:b/>
                <w:bCs/>
                <w:sz w:val="18"/>
                <w:szCs w:val="18"/>
              </w:rPr>
              <w:t xml:space="preserve">            3,659,756,314.00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21.67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9.84%</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28.33 </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23.07%</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26.67 </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24.66%</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23.33 </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42.43%</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sz w:val="18"/>
                <w:szCs w:val="18"/>
              </w:rPr>
            </w:pPr>
            <w:r>
              <w:rPr>
                <w:rFonts w:ascii="Bookman Old Style" w:hAnsi="Bookman Old Style" w:eastAsia="Times New Roman" w:cs="Calibri"/>
                <w:b/>
                <w:bCs/>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Penagihan Piutang Pajak Daerah Non PBB</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Penagihan Pajak Daerah (Non PBB) yang di tagih</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10 sektor pajak</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922,223,000.00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10.41%</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23.01%</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34.12%</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32.46%</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Monitoring Dan Evaluasi Pajak Daerah</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penanganan keberatan dan pengurangan objek pajak</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28 WP</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455,456,314.00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8.27%</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20.12%</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38.98%</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32.62%</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Pemeriksaan Pajak Daerah</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Operasi Gabuangan yang di lakukan</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14 kegiatan</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612,006,000.00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3.05%</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28.04%</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11.16%</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57.75%</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Penanganan Keberatan dan Pengurangan</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pemeriksaan Pajak Daerah ke Wajib Pajak</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14 kegiatan</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508,636,000.00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13.07%</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19.74%</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22.47%</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44.73%</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Operasi Gabungan Penertiban Pajak Daerah</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kegiatan pelaksanaan rekonsiliasi Piutang dan Tunggakan Pajak di 7 UPT</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12 kegiatan</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351,554,000.00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15.00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11.54%</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35.00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24.55%</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30.00</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22.80%</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20.00</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41.11%</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nil"/>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Rekonsialisasi Piutang Pajak</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dokumen laporan hasil monitoring &amp; evaluasi atas penerimaan pajak daerah</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19 dokumen</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809,881,000.00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15.00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12.67%</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35.00 </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22.97%</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30.00</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18.45%</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20.00</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45.91%</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sz w:val="18"/>
                <w:szCs w:val="18"/>
              </w:rPr>
            </w:pPr>
            <w:r>
              <w:rPr>
                <w:rFonts w:ascii="Bookman Old Style" w:hAnsi="Bookman Old Style" w:eastAsia="Times New Roman" w:cs="Calibri"/>
                <w:b/>
                <w:bCs/>
                <w:sz w:val="18"/>
                <w:szCs w:val="18"/>
              </w:rPr>
              <w:t>9</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b/>
                <w:bCs/>
                <w:sz w:val="18"/>
                <w:szCs w:val="18"/>
              </w:rPr>
            </w:pPr>
            <w:r>
              <w:rPr>
                <w:rFonts w:ascii="Bookman Old Style" w:hAnsi="Bookman Old Style" w:eastAsia="Times New Roman" w:cs="Calibri"/>
                <w:b/>
                <w:bCs/>
                <w:sz w:val="18"/>
                <w:szCs w:val="18"/>
              </w:rPr>
              <w:t xml:space="preserve">PROGRAM PELAYANAN PENINGKATAN DAN </w:t>
            </w:r>
            <w:r>
              <w:rPr>
                <w:rFonts w:ascii="Bookman Old Style" w:hAnsi="Bookman Old Style" w:eastAsia="Times New Roman" w:cs="Calibri"/>
                <w:b/>
                <w:bCs/>
                <w:sz w:val="18"/>
                <w:szCs w:val="18"/>
              </w:rPr>
              <w:br w:type="textWrapping"/>
            </w:r>
            <w:r>
              <w:rPr>
                <w:rFonts w:ascii="Bookman Old Style" w:hAnsi="Bookman Old Style" w:eastAsia="Times New Roman" w:cs="Calibri"/>
                <w:b/>
                <w:bCs/>
                <w:sz w:val="18"/>
                <w:szCs w:val="18"/>
              </w:rPr>
              <w:t>PENERIMAAN PAJAK NON PBB DAN BPHTB</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Tingkat Penerimaan Pajak Non PBB dan BPHTB</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b/>
                <w:bCs/>
                <w:color w:val="000000"/>
                <w:sz w:val="18"/>
                <w:szCs w:val="18"/>
              </w:rPr>
            </w:pPr>
            <w:r>
              <w:rPr>
                <w:rFonts w:ascii="Bookman Old Style" w:hAnsi="Bookman Old Style" w:eastAsia="Times New Roman" w:cs="Arial"/>
                <w:b/>
                <w:bCs/>
                <w:color w:val="000000"/>
                <w:sz w:val="18"/>
                <w:szCs w:val="18"/>
              </w:rPr>
              <w:t>100%</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sz w:val="18"/>
                <w:szCs w:val="18"/>
              </w:rPr>
            </w:pPr>
            <w:r>
              <w:rPr>
                <w:rFonts w:ascii="Bookman Old Style" w:hAnsi="Bookman Old Style" w:eastAsia="Times New Roman" w:cs="Calibri"/>
                <w:b/>
                <w:bCs/>
                <w:sz w:val="18"/>
                <w:szCs w:val="18"/>
              </w:rPr>
              <w:t xml:space="preserve">            3,710,485,980.00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21.67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7.61%</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25.83 </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25.49%</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28.33 </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19.10%</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24.17 </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47.81%</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sz w:val="18"/>
                <w:szCs w:val="18"/>
              </w:rPr>
            </w:pPr>
            <w:r>
              <w:rPr>
                <w:rFonts w:ascii="Bookman Old Style" w:hAnsi="Bookman Old Style" w:eastAsia="Times New Roman" w:cs="Calibri"/>
                <w:b/>
                <w:bCs/>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Penyediaan Jasa Administrasi Perpajakan </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Penghitungan Penetapan Penerbitan dan Pendistribusian Surat Ketetapan Pajak (SKP/SKPD) serta Pemeliharaan Sistem Aplikasi Perpajakan</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15800 SKPD</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1,399,508,685.00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20.00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5.67%</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18.32%</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30.00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23.18%</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52.84%</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Pendaftaran Pendataan Dan Pemutakhiran Data Obyek Pajak</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desa yang mendapatkan bagi hasil Pajak dan Retribusi</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378 desa</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344,524,000.00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10.00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8.04%</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30.00</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23.86%</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40.00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21.30%</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20.00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46.81%</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Data Penghitungan Dan Rekonsialisasi Bagi Hasil Pajak Daerah Dan Retribusi Kepada Desa</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Laporan Realisasi yang di susun</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216 laporan</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416,039,100.00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8.86%</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55.70%</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13.25%</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22.18%</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nil"/>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Penyusunan Target Dan Laporan Perpajakan</w:t>
            </w:r>
          </w:p>
        </w:tc>
        <w:tc>
          <w:tcPr>
            <w:tcW w:w="1794"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permintaan Perforasi dan Pengadministrasian pengelolaan Benda Benda Berharga</w:t>
            </w:r>
          </w:p>
        </w:tc>
        <w:tc>
          <w:tcPr>
            <w:tcW w:w="1113" w:type="dxa"/>
            <w:tcBorders>
              <w:top w:val="nil"/>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336 wajib pajak</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288,381,947.00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9.65%</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19.61%</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19.62%</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51.12%</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Pelayanan Dan Pengadministrasian Permintaan Porforasi Benda - Benda Berharga</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obyek pajak yang di lakukan inten dan eksten</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122 OP</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648,977,748.00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11.11%</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29.86%</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25.86%</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33.17%</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c>
          <w:tcPr>
            <w:tcW w:w="195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Intensifikasi Dan Ekstensifikasi Sumber Sumber Pendapatan Daerah</w:t>
            </w:r>
          </w:p>
        </w:tc>
        <w:tc>
          <w:tcPr>
            <w:tcW w:w="1794"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Jumlah Wajib pajak yang terdaftar dan jumlah pendataan obyek pajak</w:t>
            </w:r>
          </w:p>
        </w:tc>
        <w:tc>
          <w:tcPr>
            <w:tcW w:w="1113" w:type="dxa"/>
            <w:tcBorders>
              <w:top w:val="single" w:color="auto" w:sz="4" w:space="0"/>
              <w:left w:val="nil"/>
              <w:bottom w:val="single" w:color="auto" w:sz="4" w:space="0"/>
              <w:right w:val="single" w:color="auto" w:sz="4" w:space="0"/>
            </w:tcBorders>
            <w:shd w:val="clear" w:color="000000" w:fill="FFFFFF"/>
            <w:vAlign w:val="center"/>
          </w:tcPr>
          <w:p>
            <w:pPr>
              <w:spacing w:after="0" w:line="240" w:lineRule="auto"/>
              <w:jc w:val="center"/>
              <w:rPr>
                <w:rFonts w:ascii="Bookman Old Style" w:hAnsi="Bookman Old Style" w:eastAsia="Times New Roman" w:cs="Arial"/>
                <w:color w:val="000000"/>
                <w:sz w:val="18"/>
                <w:szCs w:val="18"/>
              </w:rPr>
            </w:pPr>
            <w:r>
              <w:rPr>
                <w:rFonts w:ascii="Bookman Old Style" w:hAnsi="Bookman Old Style" w:eastAsia="Times New Roman" w:cs="Arial"/>
                <w:color w:val="000000"/>
                <w:sz w:val="18"/>
                <w:szCs w:val="18"/>
              </w:rPr>
              <w:t>300 WP</w:t>
            </w:r>
          </w:p>
        </w:tc>
        <w:tc>
          <w:tcPr>
            <w:tcW w:w="2031"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613,054,500.00 </w:t>
            </w:r>
          </w:p>
        </w:tc>
        <w:tc>
          <w:tcPr>
            <w:tcW w:w="1113"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2.32%</w:t>
            </w:r>
          </w:p>
        </w:tc>
        <w:tc>
          <w:tcPr>
            <w:tcW w:w="1224"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25.00</w:t>
            </w:r>
          </w:p>
        </w:tc>
        <w:tc>
          <w:tcPr>
            <w:tcW w:w="1271"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5.56%</w:t>
            </w:r>
          </w:p>
        </w:tc>
        <w:tc>
          <w:tcPr>
            <w:tcW w:w="105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263" w:type="dxa"/>
            <w:gridSpan w:val="2"/>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11.40%</w:t>
            </w:r>
          </w:p>
        </w:tc>
        <w:tc>
          <w:tcPr>
            <w:tcW w:w="98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xml:space="preserve">                 25.00 </w:t>
            </w:r>
          </w:p>
        </w:tc>
        <w:tc>
          <w:tcPr>
            <w:tcW w:w="1170"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80.72%</w:t>
            </w:r>
          </w:p>
        </w:tc>
        <w:tc>
          <w:tcPr>
            <w:tcW w:w="1075" w:type="dxa"/>
            <w:tcBorders>
              <w:top w:val="single" w:color="auto" w:sz="4" w:space="0"/>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color w:val="000000"/>
                <w:sz w:val="18"/>
                <w:szCs w:val="18"/>
              </w:rPr>
            </w:pPr>
            <w:r>
              <w:rPr>
                <w:rFonts w:ascii="Bookman Old Style" w:hAnsi="Bookman Old Style" w:eastAsia="Times New Roman" w:cs="Calibri"/>
                <w:color w:val="000000"/>
                <w:sz w:val="18"/>
                <w:szCs w:val="18"/>
              </w:rPr>
              <w:t> </w:t>
            </w:r>
          </w:p>
        </w:tc>
      </w:tr>
      <w:tr>
        <w:tblPrEx>
          <w:tblCellMar>
            <w:top w:w="0" w:type="dxa"/>
            <w:left w:w="108" w:type="dxa"/>
            <w:bottom w:w="0" w:type="dxa"/>
            <w:right w:w="108" w:type="dxa"/>
          </w:tblCellMar>
        </w:tblPrEx>
        <w:trPr>
          <w:trHeight w:val="890" w:hRule="atLeast"/>
        </w:trPr>
        <w:tc>
          <w:tcPr>
            <w:tcW w:w="646" w:type="dxa"/>
            <w:tcBorders>
              <w:top w:val="nil"/>
              <w:left w:val="single" w:color="auto" w:sz="4" w:space="0"/>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954"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Jumlah</w:t>
            </w:r>
          </w:p>
        </w:tc>
        <w:tc>
          <w:tcPr>
            <w:tcW w:w="1794" w:type="dxa"/>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c>
          <w:tcPr>
            <w:tcW w:w="2031"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center"/>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27,806,538,882.00 </w:t>
            </w:r>
          </w:p>
        </w:tc>
        <w:tc>
          <w:tcPr>
            <w:tcW w:w="1113"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14.34 </w:t>
            </w:r>
          </w:p>
        </w:tc>
        <w:tc>
          <w:tcPr>
            <w:tcW w:w="1265"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10.74 </w:t>
            </w:r>
          </w:p>
        </w:tc>
        <w:tc>
          <w:tcPr>
            <w:tcW w:w="1224"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31.42 </w:t>
            </w:r>
          </w:p>
        </w:tc>
        <w:tc>
          <w:tcPr>
            <w:tcW w:w="1271"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23.45 </w:t>
            </w:r>
          </w:p>
        </w:tc>
        <w:tc>
          <w:tcPr>
            <w:tcW w:w="105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31.88 </w:t>
            </w:r>
          </w:p>
        </w:tc>
        <w:tc>
          <w:tcPr>
            <w:tcW w:w="1263" w:type="dxa"/>
            <w:gridSpan w:val="2"/>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27.44 </w:t>
            </w:r>
          </w:p>
        </w:tc>
        <w:tc>
          <w:tcPr>
            <w:tcW w:w="98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22.35 </w:t>
            </w:r>
          </w:p>
        </w:tc>
        <w:tc>
          <w:tcPr>
            <w:tcW w:w="1170" w:type="dxa"/>
            <w:tcBorders>
              <w:top w:val="nil"/>
              <w:left w:val="nil"/>
              <w:bottom w:val="single" w:color="auto" w:sz="4" w:space="0"/>
              <w:right w:val="single" w:color="auto" w:sz="4" w:space="0"/>
            </w:tcBorders>
            <w:shd w:val="clear" w:color="000000" w:fill="FFFFFF"/>
            <w:noWrap/>
            <w:vAlign w:val="center"/>
          </w:tcPr>
          <w:p>
            <w:pPr>
              <w:spacing w:after="0" w:line="240" w:lineRule="auto"/>
              <w:jc w:val="right"/>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xml:space="preserve">                38.37 </w:t>
            </w:r>
          </w:p>
        </w:tc>
        <w:tc>
          <w:tcPr>
            <w:tcW w:w="1075" w:type="dxa"/>
            <w:tcBorders>
              <w:top w:val="nil"/>
              <w:left w:val="nil"/>
              <w:bottom w:val="single" w:color="auto" w:sz="4" w:space="0"/>
              <w:right w:val="single" w:color="auto" w:sz="4" w:space="0"/>
            </w:tcBorders>
            <w:shd w:val="clear" w:color="000000" w:fill="FFFFFF"/>
            <w:noWrap/>
            <w:vAlign w:val="center"/>
          </w:tcPr>
          <w:p>
            <w:pPr>
              <w:spacing w:after="0" w:line="240" w:lineRule="auto"/>
              <w:rPr>
                <w:rFonts w:ascii="Bookman Old Style" w:hAnsi="Bookman Old Style" w:eastAsia="Times New Roman" w:cs="Calibri"/>
                <w:b/>
                <w:bCs/>
                <w:color w:val="000000"/>
                <w:sz w:val="18"/>
                <w:szCs w:val="18"/>
              </w:rPr>
            </w:pPr>
            <w:r>
              <w:rPr>
                <w:rFonts w:ascii="Bookman Old Style" w:hAnsi="Bookman Old Style" w:eastAsia="Times New Roman" w:cs="Calibri"/>
                <w:b/>
                <w:bCs/>
                <w:color w:val="000000"/>
                <w:sz w:val="18"/>
                <w:szCs w:val="18"/>
              </w:rPr>
              <w:t> </w:t>
            </w:r>
          </w:p>
        </w:tc>
      </w:tr>
    </w:tbl>
    <w:p>
      <w:pPr>
        <w:pStyle w:val="15"/>
        <w:spacing w:line="360" w:lineRule="auto"/>
        <w:jc w:val="both"/>
        <w:rPr>
          <w:rFonts w:ascii="Bookman Old Style" w:hAnsi="Bookman Old Style" w:cs="Arial"/>
          <w:b/>
          <w:sz w:val="24"/>
          <w:szCs w:val="24"/>
          <w:lang w:val="en-GB"/>
        </w:rPr>
        <w:sectPr>
          <w:pgSz w:w="20160" w:h="12240" w:orient="landscape"/>
          <w:pgMar w:top="1555" w:right="850" w:bottom="1411" w:left="288" w:header="706" w:footer="706" w:gutter="0"/>
          <w:cols w:space="708" w:num="1"/>
          <w:titlePg/>
          <w:docGrid w:linePitch="360" w:charSpace="0"/>
        </w:sectPr>
      </w:pPr>
    </w:p>
    <w:p>
      <w:pPr>
        <w:pStyle w:val="15"/>
        <w:spacing w:line="360" w:lineRule="auto"/>
        <w:jc w:val="center"/>
        <w:rPr>
          <w:rFonts w:ascii="Bookman Old Style" w:hAnsi="Bookman Old Style" w:cs="Arial"/>
          <w:b/>
          <w:sz w:val="24"/>
          <w:szCs w:val="24"/>
        </w:rPr>
      </w:pPr>
      <w:r>
        <w:rPr>
          <w:rFonts w:ascii="Bookman Old Style" w:hAnsi="Bookman Old Style" w:cs="Arial"/>
          <w:b/>
          <w:sz w:val="24"/>
          <w:szCs w:val="24"/>
        </w:rPr>
        <w:t>BAB V</w:t>
      </w:r>
    </w:p>
    <w:p>
      <w:pPr>
        <w:pStyle w:val="15"/>
        <w:spacing w:line="360" w:lineRule="auto"/>
        <w:jc w:val="center"/>
        <w:rPr>
          <w:rFonts w:ascii="Bookman Old Style" w:hAnsi="Bookman Old Style" w:cs="Arial"/>
          <w:b/>
          <w:sz w:val="24"/>
          <w:szCs w:val="24"/>
          <w:lang w:val="en-GB"/>
        </w:rPr>
      </w:pPr>
      <w:r>
        <w:rPr>
          <w:rFonts w:ascii="Bookman Old Style" w:hAnsi="Bookman Old Style" w:cs="Arial"/>
          <w:b/>
          <w:sz w:val="24"/>
          <w:szCs w:val="24"/>
        </w:rPr>
        <w:t>PENUTUP</w:t>
      </w:r>
    </w:p>
    <w:p>
      <w:pPr>
        <w:pStyle w:val="15"/>
        <w:spacing w:line="360" w:lineRule="auto"/>
        <w:jc w:val="both"/>
        <w:rPr>
          <w:rFonts w:ascii="Bookman Old Style" w:hAnsi="Bookman Old Style" w:cs="Arial"/>
          <w:sz w:val="24"/>
          <w:szCs w:val="24"/>
          <w:lang w:val="en-GB"/>
        </w:rPr>
      </w:pPr>
    </w:p>
    <w:p>
      <w:pPr>
        <w:pStyle w:val="25"/>
        <w:spacing w:line="317" w:lineRule="auto"/>
        <w:ind w:left="426" w:right="45" w:firstLine="708"/>
        <w:contextualSpacing/>
        <w:jc w:val="both"/>
        <w:rPr>
          <w:rFonts w:ascii="Bookman Old Style" w:hAnsi="Bookman Old Style"/>
        </w:rPr>
      </w:pPr>
      <w:r>
        <w:rPr>
          <w:rFonts w:ascii="Bookman Old Style" w:hAnsi="Bookman Old Style"/>
        </w:rPr>
        <w:t xml:space="preserve">Rencana </w:t>
      </w:r>
      <w:r>
        <w:rPr>
          <w:rFonts w:ascii="Bookman Old Style" w:hAnsi="Bookman Old Style"/>
          <w:lang w:val="id-ID"/>
        </w:rPr>
        <w:t>Kerja</w:t>
      </w:r>
      <w:r>
        <w:rPr>
          <w:rFonts w:ascii="Bookman Old Style" w:hAnsi="Bookman Old Style"/>
        </w:rPr>
        <w:t xml:space="preserve"> Badan Pendapatan Daerah Kabupaten Malang Tahun </w:t>
      </w:r>
      <w:r>
        <w:rPr>
          <w:rFonts w:ascii="Bookman Old Style" w:hAnsi="Bookman Old Style"/>
          <w:lang w:val="id-ID"/>
        </w:rPr>
        <w:t>2020</w:t>
      </w:r>
      <w:r>
        <w:rPr>
          <w:rFonts w:ascii="Bookman Old Style" w:hAnsi="Bookman Old Style"/>
        </w:rPr>
        <w:t xml:space="preserve"> berfungsi sebagai pedoman bagi aparatur Badan Pendapatan Daerah Kabupaten Malang dalam melaksanakan tugas penyelenggaraan pemerintahan</w:t>
      </w:r>
      <w:r>
        <w:rPr>
          <w:rFonts w:ascii="Bookman Old Style" w:hAnsi="Bookman Old Style"/>
          <w:lang w:val="id-ID"/>
        </w:rPr>
        <w:t xml:space="preserve"> khususnya </w:t>
      </w:r>
      <w:r>
        <w:rPr>
          <w:rFonts w:ascii="Bookman Old Style" w:hAnsi="Bookman Old Style"/>
        </w:rPr>
        <w:t xml:space="preserve">pelayanan </w:t>
      </w:r>
      <w:r>
        <w:rPr>
          <w:rFonts w:ascii="Bookman Old Style" w:hAnsi="Bookman Old Style"/>
          <w:lang w:val="id-ID"/>
        </w:rPr>
        <w:t xml:space="preserve">publik </w:t>
      </w:r>
      <w:r>
        <w:rPr>
          <w:rFonts w:ascii="Bookman Old Style" w:hAnsi="Bookman Old Style"/>
        </w:rPr>
        <w:t>T</w:t>
      </w:r>
      <w:r>
        <w:rPr>
          <w:rFonts w:ascii="Bookman Old Style" w:hAnsi="Bookman Old Style"/>
          <w:lang w:val="id-ID"/>
        </w:rPr>
        <w:t xml:space="preserve">ahun 2020, serta </w:t>
      </w:r>
      <w:r>
        <w:rPr>
          <w:rFonts w:ascii="Bookman Old Style" w:hAnsi="Bookman Old Style"/>
        </w:rPr>
        <w:t xml:space="preserve">mendukung Visi dan Misi Pemerintah Kabupaten Malang agar </w:t>
      </w:r>
      <w:r>
        <w:rPr>
          <w:rFonts w:ascii="Bookman Old Style" w:hAnsi="Bookman Old Style"/>
          <w:lang w:val="es-ES"/>
        </w:rPr>
        <w:t>dapat lebih terkoordinasi, terintegrasi dan sinergis dalam pencapaian sasaran yang telah ditetapkan.</w:t>
      </w:r>
    </w:p>
    <w:p>
      <w:pPr>
        <w:tabs>
          <w:tab w:val="left" w:pos="900"/>
        </w:tabs>
        <w:spacing w:after="0" w:line="317" w:lineRule="auto"/>
        <w:ind w:left="475" w:firstLine="659"/>
        <w:contextualSpacing/>
        <w:jc w:val="both"/>
        <w:rPr>
          <w:rFonts w:ascii="Bookman Old Style" w:hAnsi="Bookman Old Style" w:cs="Arial"/>
          <w:color w:val="000000"/>
          <w:sz w:val="24"/>
          <w:szCs w:val="24"/>
        </w:rPr>
      </w:pPr>
      <w:r>
        <w:rPr>
          <w:rFonts w:ascii="Bookman Old Style" w:hAnsi="Bookman Old Style" w:cs="Arial"/>
          <w:color w:val="000000"/>
          <w:sz w:val="24"/>
          <w:szCs w:val="24"/>
        </w:rPr>
        <w:t>Rencana Kerja ini sangat penting artinya sebagai bentuk komitmen pemerintah dengan mengadopsi berbagai kebutuhan masyarakat melalui keterlibatan lebih banyak pelaku pembangunan (</w:t>
      </w:r>
      <w:r>
        <w:rPr>
          <w:rFonts w:ascii="Bookman Old Style" w:hAnsi="Bookman Old Style" w:cs="Arial"/>
          <w:i/>
          <w:iCs/>
          <w:color w:val="000000"/>
          <w:sz w:val="24"/>
          <w:szCs w:val="24"/>
        </w:rPr>
        <w:t>stakeholders</w:t>
      </w:r>
      <w:r>
        <w:rPr>
          <w:rFonts w:ascii="Bookman Old Style" w:hAnsi="Bookman Old Style" w:cs="Arial"/>
          <w:color w:val="000000"/>
          <w:sz w:val="24"/>
          <w:szCs w:val="24"/>
        </w:rPr>
        <w:t xml:space="preserve">) dalam menciptakan </w:t>
      </w:r>
      <w:r>
        <w:rPr>
          <w:rFonts w:ascii="Bookman Old Style" w:hAnsi="Bookman Old Style" w:cs="Arial"/>
          <w:i/>
          <w:iCs/>
          <w:color w:val="000000"/>
          <w:sz w:val="24"/>
          <w:szCs w:val="24"/>
        </w:rPr>
        <w:t>Good Governance</w:t>
      </w:r>
      <w:r>
        <w:rPr>
          <w:rFonts w:ascii="Bookman Old Style" w:hAnsi="Bookman Old Style" w:cs="Arial"/>
          <w:color w:val="000000"/>
          <w:sz w:val="24"/>
          <w:szCs w:val="24"/>
        </w:rPr>
        <w:t>. Komitmen dimaksud pada gilirannya akan mampu menciptakan kebijakan yang dampaknya berpengaruh kepada publik sehingga keberpihakan pada masyarakat benar-benar dikedepankan.</w:t>
      </w:r>
    </w:p>
    <w:p>
      <w:pPr>
        <w:pStyle w:val="25"/>
        <w:spacing w:line="317" w:lineRule="auto"/>
        <w:ind w:left="426" w:right="45" w:firstLine="708"/>
        <w:contextualSpacing/>
        <w:jc w:val="both"/>
        <w:rPr>
          <w:rFonts w:ascii="Bookman Old Style" w:hAnsi="Bookman Old Style"/>
          <w:lang w:val="id-ID"/>
        </w:rPr>
      </w:pPr>
      <w:r>
        <w:rPr>
          <w:rFonts w:ascii="Bookman Old Style" w:hAnsi="Bookman Old Style"/>
        </w:rPr>
        <w:t xml:space="preserve">Selanjutnya, </w:t>
      </w:r>
      <w:r>
        <w:rPr>
          <w:rFonts w:ascii="Bookman Old Style" w:hAnsi="Bookman Old Style"/>
          <w:lang w:val="af-ZA"/>
        </w:rPr>
        <w:t xml:space="preserve">Rencana Kerja </w:t>
      </w:r>
      <w:r>
        <w:rPr>
          <w:rFonts w:ascii="Bookman Old Style" w:hAnsi="Bookman Old Style"/>
        </w:rPr>
        <w:t>Badan Pendapatan Daerah</w:t>
      </w:r>
      <w:r>
        <w:rPr>
          <w:rFonts w:ascii="Bookman Old Style" w:hAnsi="Bookman Old Style"/>
          <w:lang w:val="af-ZA"/>
        </w:rPr>
        <w:t xml:space="preserve">      Kabupaten Malang Tahun 20</w:t>
      </w:r>
      <w:r>
        <w:rPr>
          <w:rFonts w:ascii="Bookman Old Style" w:hAnsi="Bookman Old Style"/>
          <w:lang w:val="id-ID"/>
        </w:rPr>
        <w:t>20</w:t>
      </w:r>
      <w:r>
        <w:rPr>
          <w:rFonts w:ascii="Bookman Old Style" w:hAnsi="Bookman Old Style"/>
          <w:lang w:val="af-ZA"/>
        </w:rPr>
        <w:t xml:space="preserve"> yang telah </w:t>
      </w:r>
      <w:r>
        <w:rPr>
          <w:rStyle w:val="11"/>
          <w:rFonts w:ascii="Bookman Old Style" w:hAnsi="Bookman Old Style"/>
          <w:i w:val="0"/>
        </w:rPr>
        <w:t>disusun</w:t>
      </w:r>
      <w:r>
        <w:rPr>
          <w:rFonts w:ascii="Bookman Old Style" w:hAnsi="Bookman Old Style"/>
          <w:lang w:val="af-ZA"/>
        </w:rPr>
        <w:t xml:space="preserve"> ini akan digunakan sebagai bahan penyusunan Rencana Kerja dan Anggaran (RKA)          </w:t>
      </w:r>
      <w:r>
        <w:rPr>
          <w:rFonts w:ascii="Bookman Old Style" w:hAnsi="Bookman Old Style"/>
        </w:rPr>
        <w:t>Badan Pendapatan Daerah</w:t>
      </w:r>
      <w:r>
        <w:rPr>
          <w:rFonts w:ascii="Bookman Old Style" w:hAnsi="Bookman Old Style"/>
          <w:lang w:val="af-ZA"/>
        </w:rPr>
        <w:t xml:space="preserve"> Kabupaten Malang Tahun 20</w:t>
      </w:r>
      <w:r>
        <w:rPr>
          <w:rFonts w:ascii="Bookman Old Style" w:hAnsi="Bookman Old Style"/>
          <w:lang w:val="id-ID"/>
        </w:rPr>
        <w:t>20</w:t>
      </w:r>
      <w:r>
        <w:rPr>
          <w:rFonts w:ascii="Bookman Old Style" w:hAnsi="Bookman Old Style"/>
          <w:lang w:val="af-ZA"/>
        </w:rPr>
        <w:t>.</w:t>
      </w:r>
      <w:r>
        <w:rPr>
          <w:rFonts w:ascii="Bookman Old Style" w:hAnsi="Bookman Old Style"/>
          <w:lang w:val="id-ID"/>
        </w:rPr>
        <w:t xml:space="preserve"> Apabila ketersediaan anggaran tidak sesuai dengan kebutuhan maka kegiatan atau pekerjaan tersebut akan dianggarkan kembali </w:t>
      </w:r>
      <w:r>
        <w:rPr>
          <w:rFonts w:ascii="Bookman Old Style" w:hAnsi="Bookman Old Style"/>
        </w:rPr>
        <w:t>pada T</w:t>
      </w:r>
      <w:r>
        <w:rPr>
          <w:rFonts w:ascii="Bookman Old Style" w:hAnsi="Bookman Old Style"/>
          <w:lang w:val="id-ID"/>
        </w:rPr>
        <w:t>ahun 2021.</w:t>
      </w:r>
    </w:p>
    <w:p>
      <w:pPr>
        <w:pStyle w:val="25"/>
        <w:spacing w:line="317" w:lineRule="auto"/>
        <w:ind w:left="426" w:right="45" w:firstLine="708"/>
        <w:contextualSpacing/>
        <w:jc w:val="both"/>
        <w:rPr>
          <w:rFonts w:ascii="Bookman Old Style" w:hAnsi="Bookman Old Style"/>
        </w:rPr>
      </w:pPr>
      <w:r>
        <w:rPr>
          <w:rFonts w:ascii="Bookman Old Style" w:hAnsi="Bookman Old Style"/>
          <w:lang w:val="id-ID"/>
        </w:rPr>
        <w:t xml:space="preserve">Implementasi </w:t>
      </w:r>
      <w:r>
        <w:rPr>
          <w:rFonts w:ascii="Bookman Old Style" w:hAnsi="Bookman Old Style"/>
        </w:rPr>
        <w:t xml:space="preserve">Rencana </w:t>
      </w:r>
      <w:r>
        <w:rPr>
          <w:rFonts w:ascii="Bookman Old Style" w:hAnsi="Bookman Old Style"/>
          <w:lang w:val="id-ID"/>
        </w:rPr>
        <w:t>Kerja</w:t>
      </w:r>
      <w:r>
        <w:rPr>
          <w:rFonts w:ascii="Bookman Old Style" w:hAnsi="Bookman Old Style"/>
        </w:rPr>
        <w:t xml:space="preserve"> sangat memerlukan partisipasi, semangat, dan komitmen dari seluruh aparatur Badan Pendapatan Daerah Kabupaten Malang, karena akan menentukan keberhasilan program dan kegiatan yang telah disusun. Dengan demikian Rencana </w:t>
      </w:r>
      <w:r>
        <w:rPr>
          <w:rFonts w:ascii="Bookman Old Style" w:hAnsi="Bookman Old Style"/>
          <w:lang w:val="id-ID"/>
        </w:rPr>
        <w:t>Kerja</w:t>
      </w:r>
      <w:r>
        <w:rPr>
          <w:rFonts w:ascii="Bookman Old Style" w:hAnsi="Bookman Old Style"/>
        </w:rPr>
        <w:t xml:space="preserve"> ini nantinya bukan hanya sebagai dokumen administrasi saja, karena secara substansial merupakan pencerminan tuntutan pembangunan yang memang dibutuhkan oleh </w:t>
      </w:r>
      <w:r>
        <w:rPr>
          <w:rFonts w:ascii="Bookman Old Style" w:hAnsi="Bookman Old Style"/>
          <w:i/>
          <w:iCs/>
        </w:rPr>
        <w:t>stakeholders</w:t>
      </w:r>
      <w:r>
        <w:rPr>
          <w:rFonts w:ascii="Bookman Old Style" w:hAnsi="Bookman Old Style"/>
        </w:rPr>
        <w:t xml:space="preserve"> sesuai dengan visi dan misi Pemerintah Kabupaten Malang yang ingin dicapai.</w:t>
      </w:r>
    </w:p>
    <w:p>
      <w:pPr>
        <w:autoSpaceDE w:val="0"/>
        <w:autoSpaceDN w:val="0"/>
        <w:adjustRightInd w:val="0"/>
        <w:spacing w:after="0" w:line="317" w:lineRule="auto"/>
        <w:ind w:left="426" w:firstLine="588"/>
        <w:contextualSpacing/>
        <w:jc w:val="both"/>
        <w:rPr>
          <w:rFonts w:ascii="Bookman Old Style" w:hAnsi="Bookman Old Style" w:cs="Arial"/>
          <w:color w:val="000000"/>
          <w:sz w:val="24"/>
          <w:szCs w:val="24"/>
        </w:rPr>
      </w:pPr>
      <w:r>
        <w:rPr>
          <w:rFonts w:ascii="Bookman Old Style" w:hAnsi="Bookman Old Style" w:cs="Arial"/>
          <w:color w:val="000000"/>
          <w:sz w:val="24"/>
          <w:szCs w:val="24"/>
        </w:rPr>
        <w:t xml:space="preserve">Akhir kata semoga Rencana Kerja </w:t>
      </w:r>
      <w:r>
        <w:rPr>
          <w:rFonts w:ascii="Bookman Old Style" w:hAnsi="Bookman Old Style" w:cs="Arial"/>
          <w:sz w:val="24"/>
          <w:szCs w:val="24"/>
        </w:rPr>
        <w:t xml:space="preserve">Badan Pendapatan Daerah </w:t>
      </w:r>
      <w:r>
        <w:rPr>
          <w:rFonts w:ascii="Bookman Old Style" w:hAnsi="Bookman Old Style" w:cs="Arial"/>
          <w:color w:val="000000"/>
          <w:sz w:val="24"/>
          <w:szCs w:val="24"/>
        </w:rPr>
        <w:t xml:space="preserve">ini dapat diimplementasikan dengan baik sesuai dengan tahapan-tahapan yang telah ditetapkan dalam rangka mendukung terwujudnya </w:t>
      </w:r>
      <w:r>
        <w:rPr>
          <w:rFonts w:ascii="Bookman Old Style" w:hAnsi="Bookman Old Style" w:cs="Arial"/>
          <w:i/>
          <w:color w:val="000000"/>
          <w:sz w:val="24"/>
          <w:szCs w:val="24"/>
        </w:rPr>
        <w:t>good governance</w:t>
      </w:r>
      <w:r>
        <w:rPr>
          <w:rFonts w:ascii="Bookman Old Style" w:hAnsi="Bookman Old Style" w:cs="Arial"/>
          <w:color w:val="000000"/>
          <w:sz w:val="24"/>
          <w:szCs w:val="24"/>
        </w:rPr>
        <w:t>.</w:t>
      </w:r>
    </w:p>
    <w:p>
      <w:pPr>
        <w:autoSpaceDE w:val="0"/>
        <w:autoSpaceDN w:val="0"/>
        <w:adjustRightInd w:val="0"/>
        <w:spacing w:after="0" w:line="317" w:lineRule="auto"/>
        <w:ind w:left="426" w:firstLine="588"/>
        <w:contextualSpacing/>
        <w:jc w:val="both"/>
        <w:rPr>
          <w:rFonts w:ascii="Bookman Old Style" w:hAnsi="Bookman Old Style" w:cs="Arial"/>
          <w:color w:val="000000"/>
          <w:sz w:val="24"/>
          <w:szCs w:val="24"/>
        </w:rPr>
      </w:pPr>
      <w:r>
        <w:rPr>
          <w:rFonts w:ascii="Bookman Old Style" w:hAnsi="Bookman Old Style" w:cs="Arial"/>
          <w:color w:val="000000"/>
          <w:sz w:val="24"/>
          <w:szCs w:val="24"/>
        </w:rPr>
        <w:t>Demikian untuk dilaksanakan.</w:t>
      </w:r>
    </w:p>
    <w:p>
      <w:pPr>
        <w:pStyle w:val="15"/>
        <w:spacing w:line="360" w:lineRule="auto"/>
        <w:ind w:left="5760" w:firstLine="720"/>
        <w:jc w:val="both"/>
        <w:rPr>
          <w:rFonts w:ascii="Bookman Old Style" w:hAnsi="Bookman Old Style" w:cs="Arial"/>
          <w:b/>
          <w:bCs/>
          <w:sz w:val="24"/>
          <w:szCs w:val="24"/>
          <w:lang w:val="sv-SE"/>
        </w:rPr>
      </w:pPr>
    </w:p>
    <w:p>
      <w:pPr>
        <w:pStyle w:val="15"/>
        <w:spacing w:line="312" w:lineRule="auto"/>
        <w:ind w:left="5760" w:hanging="230"/>
        <w:jc w:val="center"/>
        <w:rPr>
          <w:rFonts w:ascii="Bookman Old Style" w:hAnsi="Bookman Old Style" w:cs="Arial"/>
          <w:b/>
          <w:bCs/>
          <w:sz w:val="24"/>
          <w:szCs w:val="24"/>
          <w:lang w:val="sv-SE"/>
        </w:rPr>
      </w:pPr>
      <w:r>
        <w:rPr>
          <w:rFonts w:ascii="Bookman Old Style" w:hAnsi="Bookman Old Style" w:cs="Arial"/>
          <w:b/>
          <w:bCs/>
          <w:sz w:val="24"/>
          <w:szCs w:val="24"/>
        </w:rPr>
        <w:t>Plt.</w:t>
      </w:r>
      <w:r>
        <w:rPr>
          <w:rFonts w:ascii="Bookman Old Style" w:hAnsi="Bookman Old Style" w:cs="Arial"/>
          <w:b/>
          <w:bCs/>
          <w:sz w:val="24"/>
          <w:szCs w:val="24"/>
          <w:lang w:val="en-US"/>
        </w:rPr>
        <w:t xml:space="preserve"> </w:t>
      </w:r>
      <w:r>
        <w:rPr>
          <w:rFonts w:ascii="Bookman Old Style" w:hAnsi="Bookman Old Style" w:cs="Arial"/>
          <w:b/>
          <w:bCs/>
          <w:sz w:val="24"/>
          <w:szCs w:val="24"/>
          <w:lang w:val="sv-SE"/>
        </w:rPr>
        <w:t>BUPATI MALANG,</w:t>
      </w:r>
    </w:p>
    <w:p>
      <w:pPr>
        <w:pStyle w:val="15"/>
        <w:spacing w:line="456" w:lineRule="auto"/>
        <w:ind w:left="5760" w:hanging="230"/>
        <w:jc w:val="center"/>
        <w:rPr>
          <w:rFonts w:ascii="Bookman Old Style" w:hAnsi="Bookman Old Style" w:cs="Arial"/>
          <w:b/>
          <w:bCs/>
          <w:sz w:val="24"/>
          <w:szCs w:val="24"/>
          <w:lang w:val="sv-SE"/>
        </w:rPr>
      </w:pPr>
    </w:p>
    <w:p>
      <w:pPr>
        <w:pStyle w:val="15"/>
        <w:spacing w:line="456" w:lineRule="auto"/>
        <w:rPr>
          <w:rFonts w:ascii="Bookman Old Style" w:hAnsi="Bookman Old Style" w:cs="Arial"/>
          <w:b/>
          <w:bCs/>
          <w:sz w:val="24"/>
          <w:szCs w:val="24"/>
          <w:lang w:val="sv-SE"/>
        </w:rPr>
      </w:pPr>
    </w:p>
    <w:p>
      <w:pPr>
        <w:pStyle w:val="15"/>
        <w:spacing w:line="360" w:lineRule="auto"/>
        <w:ind w:left="5760" w:hanging="231"/>
        <w:jc w:val="center"/>
        <w:rPr>
          <w:rFonts w:ascii="Bookman Old Style" w:hAnsi="Bookman Old Style" w:cs="Arial"/>
          <w:b/>
          <w:sz w:val="24"/>
          <w:szCs w:val="24"/>
        </w:rPr>
      </w:pPr>
      <w:r>
        <w:rPr>
          <w:rFonts w:ascii="Bookman Old Style" w:hAnsi="Bookman Old Style" w:cs="Arial"/>
          <w:b/>
          <w:sz w:val="24"/>
          <w:szCs w:val="24"/>
        </w:rPr>
        <w:t>SANUSI</w:t>
      </w:r>
    </w:p>
    <w:sectPr>
      <w:pgSz w:w="12191" w:h="18711"/>
      <w:pgMar w:top="1418" w:right="1418" w:bottom="1418" w:left="1418" w:header="706" w:footer="706"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Century Gothic">
    <w:panose1 w:val="020B0502020202020204"/>
    <w:charset w:val="00"/>
    <w:family w:val="swiss"/>
    <w:pitch w:val="default"/>
    <w:sig w:usb0="00000287" w:usb1="00000000" w:usb2="00000000" w:usb3="00000000" w:csb0="2000009F" w:csb1="DFD70000"/>
  </w:font>
  <w:font w:name="Bookman Old Style">
    <w:panose1 w:val="02050604050505020204"/>
    <w:charset w:val="00"/>
    <w:family w:val="roman"/>
    <w:pitch w:val="default"/>
    <w:sig w:usb0="00000287" w:usb1="00000000" w:usb2="00000000" w:usb3="00000000" w:csb0="2000009F" w:csb1="DFD7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Bookman Old Style" w:hAnsi="Bookman Old Style"/>
        <w:sz w:val="12"/>
        <w:szCs w:val="12"/>
      </w:rPr>
    </w:pPr>
    <w:r>
      <w:rPr>
        <w:rFonts w:ascii="Bookman Old Style" w:hAnsi="Bookman Old Style"/>
        <w:sz w:val="12"/>
        <w:szCs w:val="12"/>
      </w:rPr>
      <w:fldChar w:fldCharType="begin"/>
    </w:r>
    <w:r>
      <w:rPr>
        <w:rFonts w:ascii="Bookman Old Style" w:hAnsi="Bookman Old Style"/>
        <w:sz w:val="12"/>
        <w:szCs w:val="12"/>
      </w:rPr>
      <w:instrText xml:space="preserve"> FILENAME  \p  \* MERGEFORMAT </w:instrText>
    </w:r>
    <w:r>
      <w:rPr>
        <w:rFonts w:ascii="Bookman Old Style" w:hAnsi="Bookman Old Style"/>
        <w:sz w:val="12"/>
        <w:szCs w:val="12"/>
      </w:rPr>
      <w:fldChar w:fldCharType="separate"/>
    </w:r>
    <w:r>
      <w:rPr>
        <w:rFonts w:ascii="Bookman Old Style" w:hAnsi="Bookman Old Style"/>
        <w:sz w:val="12"/>
        <w:szCs w:val="12"/>
      </w:rPr>
      <w:t>C:\Users\asus\Downloads\Lampiran Bapenda (1).docx</w:t>
    </w:r>
    <w:r>
      <w:rPr>
        <w:rFonts w:ascii="Bookman Old Style" w:hAnsi="Bookman Old Style"/>
        <w:sz w:val="12"/>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Bookman Old Style" w:hAnsi="Bookman Old Style"/>
        <w:sz w:val="12"/>
        <w:szCs w:val="12"/>
      </w:rPr>
    </w:pPr>
    <w:r>
      <w:rPr>
        <w:rFonts w:ascii="Bookman Old Style" w:hAnsi="Bookman Old Style"/>
        <w:sz w:val="12"/>
        <w:szCs w:val="12"/>
      </w:rPr>
      <w:fldChar w:fldCharType="begin"/>
    </w:r>
    <w:r>
      <w:rPr>
        <w:rFonts w:ascii="Bookman Old Style" w:hAnsi="Bookman Old Style"/>
        <w:sz w:val="12"/>
        <w:szCs w:val="12"/>
      </w:rPr>
      <w:instrText xml:space="preserve"> FILENAME  \p  \* MERGEFORMAT </w:instrText>
    </w:r>
    <w:r>
      <w:rPr>
        <w:rFonts w:ascii="Bookman Old Style" w:hAnsi="Bookman Old Style"/>
        <w:sz w:val="12"/>
        <w:szCs w:val="12"/>
      </w:rPr>
      <w:fldChar w:fldCharType="separate"/>
    </w:r>
    <w:r>
      <w:rPr>
        <w:rFonts w:ascii="Bookman Old Style" w:hAnsi="Bookman Old Style"/>
        <w:sz w:val="12"/>
        <w:szCs w:val="12"/>
      </w:rPr>
      <w:t>Lampiran Bapenda (1).docx</w:t>
    </w:r>
    <w:r>
      <w:rPr>
        <w:rFonts w:ascii="Bookman Old Style" w:hAnsi="Bookman Old Style"/>
        <w:sz w:val="12"/>
        <w:szCs w:val="12"/>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Bookman Old Style" w:hAnsi="Bookman Old Style"/>
      </w:rPr>
      <w:id w:val="-1904587102"/>
      <w:docPartObj>
        <w:docPartGallery w:val="AutoText"/>
      </w:docPartObj>
    </w:sdtPr>
    <w:sdtEndPr>
      <w:rPr>
        <w:rFonts w:ascii="Bookman Old Style" w:hAnsi="Bookman Old Style"/>
      </w:rPr>
    </w:sdtEndPr>
    <w:sdtContent>
      <w:p>
        <w:pPr>
          <w:pStyle w:val="9"/>
          <w:jc w:val="center"/>
          <w:rPr>
            <w:rFonts w:ascii="Bookman Old Style" w:hAnsi="Bookman Old Style"/>
          </w:rPr>
        </w:pPr>
        <w:r>
          <w:rPr>
            <w:rFonts w:ascii="Bookman Old Style" w:hAnsi="Bookman Old Style"/>
          </w:rPr>
          <w:fldChar w:fldCharType="begin"/>
        </w:r>
        <w:r>
          <w:rPr>
            <w:rFonts w:ascii="Bookman Old Style" w:hAnsi="Bookman Old Style"/>
          </w:rPr>
          <w:instrText xml:space="preserve"> PAGE   \* MERGEFORMAT </w:instrText>
        </w:r>
        <w:r>
          <w:rPr>
            <w:rFonts w:ascii="Bookman Old Style" w:hAnsi="Bookman Old Style"/>
          </w:rPr>
          <w:fldChar w:fldCharType="separate"/>
        </w:r>
        <w:r>
          <w:rPr>
            <w:rFonts w:ascii="Bookman Old Style" w:hAnsi="Bookman Old Style"/>
          </w:rPr>
          <w:t>20</w:t>
        </w:r>
        <w:r>
          <w:rPr>
            <w:rFonts w:ascii="Bookman Old Style" w:hAnsi="Bookman Old Style"/>
          </w:rPr>
          <w:fldChar w:fldCharType="end"/>
        </w:r>
      </w:p>
    </w:sdtContent>
  </w:sdt>
  <w:p>
    <w:pPr>
      <w:pStyle w:val="9"/>
      <w:jc w:val="center"/>
      <w:rPr>
        <w:rFonts w:ascii="Bookman Old Style" w:hAnsi="Bookman Old Sty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Bookman Old Style" w:hAnsi="Bookman Old Style"/>
      </w:rPr>
    </w:pPr>
  </w:p>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lowerLetter"/>
      <w:lvlText w:val="%1."/>
      <w:lvlJc w:val="left"/>
      <w:pPr>
        <w:tabs>
          <w:tab w:val="left" w:pos="0"/>
        </w:tabs>
        <w:ind w:left="780" w:hanging="360"/>
      </w:pPr>
    </w:lvl>
    <w:lvl w:ilvl="1" w:tentative="0">
      <w:start w:val="1"/>
      <w:numFmt w:val="decimal"/>
      <w:lvlText w:val="%2."/>
      <w:lvlJc w:val="left"/>
      <w:pPr>
        <w:tabs>
          <w:tab w:val="left" w:pos="990"/>
        </w:tabs>
        <w:ind w:left="990" w:hanging="360"/>
      </w:pPr>
      <w:rPr>
        <w:b w:val="0"/>
        <w:color w:val="auto"/>
      </w:rPr>
    </w:lvl>
    <w:lvl w:ilvl="2" w:tentative="0">
      <w:start w:val="1"/>
      <w:numFmt w:val="decimal"/>
      <w:lvlText w:val="%3."/>
      <w:lvlJc w:val="left"/>
      <w:pPr>
        <w:tabs>
          <w:tab w:val="left" w:pos="360"/>
        </w:tabs>
        <w:ind w:left="360" w:hanging="360"/>
      </w:pPr>
      <w:rPr>
        <w:b/>
      </w:rPr>
    </w:lvl>
    <w:lvl w:ilvl="3" w:tentative="0">
      <w:start w:val="1"/>
      <w:numFmt w:val="decimal"/>
      <w:lvlText w:val="%4."/>
      <w:lvlJc w:val="left"/>
      <w:pPr>
        <w:tabs>
          <w:tab w:val="left" w:pos="360"/>
        </w:tabs>
        <w:ind w:left="360" w:hanging="360"/>
      </w:pPr>
      <w:rPr>
        <w:b/>
      </w:r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00000030"/>
    <w:multiLevelType w:val="singleLevel"/>
    <w:tmpl w:val="00000030"/>
    <w:lvl w:ilvl="0" w:tentative="0">
      <w:start w:val="1"/>
      <w:numFmt w:val="lowerLetter"/>
      <w:lvlText w:val="%1."/>
      <w:lvlJc w:val="left"/>
      <w:pPr>
        <w:tabs>
          <w:tab w:val="left" w:pos="648"/>
        </w:tabs>
        <w:ind w:left="648" w:hanging="360"/>
      </w:pPr>
    </w:lvl>
  </w:abstractNum>
  <w:abstractNum w:abstractNumId="2">
    <w:nsid w:val="03F86AF8"/>
    <w:multiLevelType w:val="multilevel"/>
    <w:tmpl w:val="03F86AF8"/>
    <w:lvl w:ilvl="0" w:tentative="0">
      <w:start w:val="2"/>
      <w:numFmt w:val="decimal"/>
      <w:lvlText w:val="%1."/>
      <w:lvlJc w:val="left"/>
      <w:pPr>
        <w:ind w:left="480" w:hanging="480"/>
      </w:pPr>
      <w:rPr>
        <w:rFonts w:hint="default"/>
      </w:rPr>
    </w:lvl>
    <w:lvl w:ilvl="1" w:tentative="0">
      <w:start w:val="3"/>
      <w:numFmt w:val="decimal"/>
      <w:lvlText w:val="%1.%2."/>
      <w:lvlJc w:val="left"/>
      <w:pPr>
        <w:ind w:left="1080" w:hanging="720"/>
      </w:pPr>
      <w:rPr>
        <w:rFonts w:hint="default"/>
      </w:rPr>
    </w:lvl>
    <w:lvl w:ilvl="2" w:tentative="0">
      <w:start w:val="1"/>
      <w:numFmt w:val="decimal"/>
      <w:lvlText w:val="%1.%2.%3."/>
      <w:lvlJc w:val="left"/>
      <w:pPr>
        <w:ind w:left="1440" w:hanging="720"/>
      </w:pPr>
      <w:rPr>
        <w:rFonts w:hint="default"/>
      </w:rPr>
    </w:lvl>
    <w:lvl w:ilvl="3" w:tentative="0">
      <w:start w:val="1"/>
      <w:numFmt w:val="decimal"/>
      <w:lvlText w:val="%1.%2.%3.%4."/>
      <w:lvlJc w:val="left"/>
      <w:pPr>
        <w:ind w:left="2160" w:hanging="1080"/>
      </w:pPr>
      <w:rPr>
        <w:rFonts w:hint="default"/>
      </w:rPr>
    </w:lvl>
    <w:lvl w:ilvl="4" w:tentative="0">
      <w:start w:val="1"/>
      <w:numFmt w:val="decimal"/>
      <w:lvlText w:val="%1.%2.%3.%4.%5."/>
      <w:lvlJc w:val="left"/>
      <w:pPr>
        <w:ind w:left="2880" w:hanging="1440"/>
      </w:pPr>
      <w:rPr>
        <w:rFonts w:hint="default"/>
      </w:rPr>
    </w:lvl>
    <w:lvl w:ilvl="5" w:tentative="0">
      <w:start w:val="1"/>
      <w:numFmt w:val="decimal"/>
      <w:lvlText w:val="%1.%2.%3.%4.%5.%6."/>
      <w:lvlJc w:val="left"/>
      <w:pPr>
        <w:ind w:left="3240" w:hanging="1440"/>
      </w:pPr>
      <w:rPr>
        <w:rFonts w:hint="default"/>
      </w:rPr>
    </w:lvl>
    <w:lvl w:ilvl="6" w:tentative="0">
      <w:start w:val="1"/>
      <w:numFmt w:val="decimal"/>
      <w:lvlText w:val="%1.%2.%3.%4.%5.%6.%7."/>
      <w:lvlJc w:val="left"/>
      <w:pPr>
        <w:ind w:left="3960" w:hanging="1800"/>
      </w:pPr>
      <w:rPr>
        <w:rFonts w:hint="default"/>
      </w:rPr>
    </w:lvl>
    <w:lvl w:ilvl="7" w:tentative="0">
      <w:start w:val="1"/>
      <w:numFmt w:val="decimal"/>
      <w:lvlText w:val="%1.%2.%3.%4.%5.%6.%7.%8."/>
      <w:lvlJc w:val="left"/>
      <w:pPr>
        <w:ind w:left="4680" w:hanging="2160"/>
      </w:pPr>
      <w:rPr>
        <w:rFonts w:hint="default"/>
      </w:rPr>
    </w:lvl>
    <w:lvl w:ilvl="8" w:tentative="0">
      <w:start w:val="1"/>
      <w:numFmt w:val="decimal"/>
      <w:lvlText w:val="%1.%2.%3.%4.%5.%6.%7.%8.%9."/>
      <w:lvlJc w:val="left"/>
      <w:pPr>
        <w:ind w:left="5040" w:hanging="2160"/>
      </w:pPr>
      <w:rPr>
        <w:rFonts w:hint="default"/>
      </w:rPr>
    </w:lvl>
  </w:abstractNum>
  <w:abstractNum w:abstractNumId="3">
    <w:nsid w:val="051520B9"/>
    <w:multiLevelType w:val="multilevel"/>
    <w:tmpl w:val="051520B9"/>
    <w:lvl w:ilvl="0" w:tentative="0">
      <w:start w:val="1"/>
      <w:numFmt w:val="decimal"/>
      <w:lvlText w:val="%1)"/>
      <w:lvlJc w:val="left"/>
      <w:pPr>
        <w:ind w:left="1211" w:hanging="360"/>
      </w:pPr>
      <w:rPr>
        <w:rFonts w:hint="default"/>
        <w:color w:val="000000"/>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4">
    <w:nsid w:val="08E1420B"/>
    <w:multiLevelType w:val="multilevel"/>
    <w:tmpl w:val="08E1420B"/>
    <w:lvl w:ilvl="0" w:tentative="0">
      <w:start w:val="1"/>
      <w:numFmt w:val="decimal"/>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5">
    <w:nsid w:val="0DAF134D"/>
    <w:multiLevelType w:val="multilevel"/>
    <w:tmpl w:val="0DAF134D"/>
    <w:lvl w:ilvl="0" w:tentative="0">
      <w:start w:val="1"/>
      <w:numFmt w:val="decimal"/>
      <w:lvlText w:val="%1)"/>
      <w:lvlJc w:val="left"/>
      <w:pPr>
        <w:ind w:left="720" w:hanging="360"/>
      </w:pPr>
    </w:lvl>
    <w:lvl w:ilvl="1" w:tentative="0">
      <w:start w:val="1"/>
      <w:numFmt w:val="decimal"/>
      <w:lvlText w:val="%2."/>
      <w:lvlJc w:val="left"/>
      <w:pPr>
        <w:ind w:left="1440" w:hanging="360"/>
      </w:pPr>
    </w:lvl>
    <w:lvl w:ilvl="2" w:tentative="0">
      <w:start w:val="9"/>
      <w:numFmt w:val="decimal"/>
      <w:lvlText w:val="%3"/>
      <w:lvlJc w:val="left"/>
      <w:pPr>
        <w:ind w:left="2340" w:hanging="360"/>
      </w:pPr>
      <w:rPr>
        <w:rFonts w:hint="default"/>
      </w:rPr>
    </w:lvl>
    <w:lvl w:ilvl="3" w:tentative="0">
      <w:start w:val="1"/>
      <w:numFmt w:val="upperLetter"/>
      <w:lvlText w:val="%4."/>
      <w:lvlJc w:val="left"/>
      <w:pPr>
        <w:ind w:left="2880" w:hanging="360"/>
      </w:pPr>
      <w:rPr>
        <w:rFonts w:hint="default"/>
        <w:b/>
      </w:rPr>
    </w:lvl>
    <w:lvl w:ilvl="4" w:tentative="0">
      <w:start w:val="1"/>
      <w:numFmt w:val="decimal"/>
      <w:lvlText w:val="%5."/>
      <w:lvlJc w:val="left"/>
      <w:pPr>
        <w:ind w:left="3600" w:hanging="360"/>
      </w:pPr>
      <w:rPr>
        <w:rFonts w:ascii="Bookman Old Style" w:hAnsi="Bookman Old Style" w:eastAsia="MS Mincho" w:cs="Arial"/>
        <w:b/>
      </w:rPr>
    </w:lvl>
    <w:lvl w:ilvl="5" w:tentative="0">
      <w:start w:val="1"/>
      <w:numFmt w:val="lowerLetter"/>
      <w:lvlText w:val="%6)"/>
      <w:lvlJc w:val="left"/>
      <w:pPr>
        <w:ind w:left="4500" w:hanging="360"/>
      </w:pPr>
      <w:rPr>
        <w:rFonts w:hint="default"/>
      </w:r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1215703F"/>
    <w:multiLevelType w:val="multilevel"/>
    <w:tmpl w:val="1215703F"/>
    <w:lvl w:ilvl="0" w:tentative="0">
      <w:start w:val="1"/>
      <w:numFmt w:val="lowerLetter"/>
      <w:lvlText w:val="%1."/>
      <w:lvlJc w:val="left"/>
      <w:pPr>
        <w:ind w:left="2138" w:hanging="360"/>
      </w:pPr>
    </w:lvl>
    <w:lvl w:ilvl="1" w:tentative="0">
      <w:start w:val="1"/>
      <w:numFmt w:val="lowerLetter"/>
      <w:lvlText w:val="%2."/>
      <w:lvlJc w:val="left"/>
      <w:pPr>
        <w:ind w:left="2858" w:hanging="360"/>
      </w:pPr>
    </w:lvl>
    <w:lvl w:ilvl="2" w:tentative="0">
      <w:start w:val="1"/>
      <w:numFmt w:val="lowerRoman"/>
      <w:lvlText w:val="%3."/>
      <w:lvlJc w:val="right"/>
      <w:pPr>
        <w:ind w:left="3578" w:hanging="180"/>
      </w:pPr>
    </w:lvl>
    <w:lvl w:ilvl="3" w:tentative="0">
      <w:start w:val="1"/>
      <w:numFmt w:val="decimal"/>
      <w:lvlText w:val="%4."/>
      <w:lvlJc w:val="left"/>
      <w:pPr>
        <w:ind w:left="4298" w:hanging="360"/>
      </w:pPr>
    </w:lvl>
    <w:lvl w:ilvl="4" w:tentative="0">
      <w:start w:val="1"/>
      <w:numFmt w:val="lowerLetter"/>
      <w:lvlText w:val="%5."/>
      <w:lvlJc w:val="left"/>
      <w:pPr>
        <w:ind w:left="5018" w:hanging="360"/>
      </w:pPr>
    </w:lvl>
    <w:lvl w:ilvl="5" w:tentative="0">
      <w:start w:val="1"/>
      <w:numFmt w:val="lowerRoman"/>
      <w:lvlText w:val="%6."/>
      <w:lvlJc w:val="right"/>
      <w:pPr>
        <w:ind w:left="5738" w:hanging="180"/>
      </w:pPr>
    </w:lvl>
    <w:lvl w:ilvl="6" w:tentative="0">
      <w:start w:val="1"/>
      <w:numFmt w:val="decimal"/>
      <w:lvlText w:val="%7."/>
      <w:lvlJc w:val="left"/>
      <w:pPr>
        <w:ind w:left="6458" w:hanging="360"/>
      </w:pPr>
    </w:lvl>
    <w:lvl w:ilvl="7" w:tentative="0">
      <w:start w:val="1"/>
      <w:numFmt w:val="lowerLetter"/>
      <w:lvlText w:val="%8."/>
      <w:lvlJc w:val="left"/>
      <w:pPr>
        <w:ind w:left="7178" w:hanging="360"/>
      </w:pPr>
    </w:lvl>
    <w:lvl w:ilvl="8" w:tentative="0">
      <w:start w:val="1"/>
      <w:numFmt w:val="lowerRoman"/>
      <w:lvlText w:val="%9."/>
      <w:lvlJc w:val="right"/>
      <w:pPr>
        <w:ind w:left="7898" w:hanging="180"/>
      </w:pPr>
    </w:lvl>
  </w:abstractNum>
  <w:abstractNum w:abstractNumId="7">
    <w:nsid w:val="1C146033"/>
    <w:multiLevelType w:val="multilevel"/>
    <w:tmpl w:val="1C146033"/>
    <w:lvl w:ilvl="0" w:tentative="0">
      <w:start w:val="1"/>
      <w:numFmt w:val="decimal"/>
      <w:lvlText w:val="%1."/>
      <w:lvlJc w:val="left"/>
      <w:pPr>
        <w:ind w:left="1429" w:hanging="360"/>
      </w:pPr>
    </w:lvl>
    <w:lvl w:ilvl="1" w:tentative="0">
      <w:start w:val="1"/>
      <w:numFmt w:val="lowerLetter"/>
      <w:lvlText w:val="%2."/>
      <w:lvlJc w:val="left"/>
      <w:pPr>
        <w:ind w:left="2149" w:hanging="360"/>
      </w:pPr>
      <w:rPr>
        <w:rFonts w:ascii="Bookman Old Style" w:hAnsi="Bookman Old Style" w:eastAsia="Times New Roman" w:cs="Arial"/>
      </w:r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decimal"/>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8">
    <w:nsid w:val="218E0741"/>
    <w:multiLevelType w:val="multilevel"/>
    <w:tmpl w:val="218E074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25427C47"/>
    <w:multiLevelType w:val="multilevel"/>
    <w:tmpl w:val="25427C47"/>
    <w:lvl w:ilvl="0" w:tentative="0">
      <w:start w:val="1"/>
      <w:numFmt w:val="lowerLetter"/>
      <w:lvlText w:val="%1)"/>
      <w:lvlJc w:val="left"/>
      <w:pPr>
        <w:ind w:left="1211" w:hanging="360"/>
      </w:pPr>
      <w:rPr>
        <w:rFonts w:hint="default"/>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10">
    <w:nsid w:val="265F44B3"/>
    <w:multiLevelType w:val="multilevel"/>
    <w:tmpl w:val="265F44B3"/>
    <w:lvl w:ilvl="0" w:tentative="0">
      <w:start w:val="2"/>
      <w:numFmt w:val="decimal"/>
      <w:lvlText w:val="%1."/>
      <w:lvlJc w:val="left"/>
      <w:pPr>
        <w:ind w:left="450" w:hanging="450"/>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11">
    <w:nsid w:val="26CE7507"/>
    <w:multiLevelType w:val="multilevel"/>
    <w:tmpl w:val="26CE7507"/>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12">
    <w:nsid w:val="2927041E"/>
    <w:multiLevelType w:val="multilevel"/>
    <w:tmpl w:val="2927041E"/>
    <w:lvl w:ilvl="0" w:tentative="0">
      <w:start w:val="1"/>
      <w:numFmt w:val="decimal"/>
      <w:lvlText w:val="%1)"/>
      <w:lvlJc w:val="left"/>
      <w:pPr>
        <w:ind w:left="720" w:hanging="360"/>
      </w:pPr>
    </w:lvl>
    <w:lvl w:ilvl="1" w:tentative="0">
      <w:start w:val="1"/>
      <w:numFmt w:val="decimal"/>
      <w:lvlText w:val="%2)"/>
      <w:lvlJc w:val="left"/>
      <w:pPr>
        <w:ind w:left="1440" w:hanging="360"/>
      </w:pPr>
      <w:rPr>
        <w:rFonts w:ascii="Bookman Old Style" w:hAnsi="Bookman Old Style" w:eastAsia="Calibri" w:cs="Arial"/>
      </w:rPr>
    </w:lvl>
    <w:lvl w:ilvl="2" w:tentative="0">
      <w:start w:val="1"/>
      <w:numFmt w:val="bullet"/>
      <w:lvlText w:val="-"/>
      <w:lvlJc w:val="left"/>
      <w:pPr>
        <w:ind w:left="2340" w:hanging="360"/>
      </w:pPr>
      <w:rPr>
        <w:rFonts w:hint="default" w:ascii="Bookman Old Style" w:hAnsi="Bookman Old Style" w:eastAsia="SimSun" w:cs="Tahoma"/>
      </w:r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2B4F212B"/>
    <w:multiLevelType w:val="multilevel"/>
    <w:tmpl w:val="2B4F212B"/>
    <w:lvl w:ilvl="0" w:tentative="0">
      <w:start w:val="1"/>
      <w:numFmt w:val="decimal"/>
      <w:lvlText w:val="%1)"/>
      <w:lvlJc w:val="left"/>
      <w:pPr>
        <w:ind w:left="1211" w:hanging="360"/>
      </w:pPr>
      <w:rPr>
        <w:rFonts w:hint="default"/>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14">
    <w:nsid w:val="2D721885"/>
    <w:multiLevelType w:val="multilevel"/>
    <w:tmpl w:val="2D721885"/>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2E7615CD"/>
    <w:multiLevelType w:val="multilevel"/>
    <w:tmpl w:val="2E7615CD"/>
    <w:lvl w:ilvl="0" w:tentative="0">
      <w:start w:val="1"/>
      <w:numFmt w:val="lowerLetter"/>
      <w:lvlText w:val="%1)"/>
      <w:lvlJc w:val="left"/>
      <w:pPr>
        <w:ind w:left="1211" w:hanging="360"/>
      </w:pPr>
      <w:rPr>
        <w:rFonts w:hint="default"/>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16">
    <w:nsid w:val="2FBC0A5E"/>
    <w:multiLevelType w:val="multilevel"/>
    <w:tmpl w:val="2FBC0A5E"/>
    <w:lvl w:ilvl="0" w:tentative="0">
      <w:start w:val="1"/>
      <w:numFmt w:val="decimal"/>
      <w:lvlText w:val="%1."/>
      <w:lvlJc w:val="left"/>
      <w:pPr>
        <w:ind w:left="1353" w:hanging="360"/>
      </w:pPr>
      <w:rPr>
        <w:rFonts w:ascii="Bookman Old Style" w:hAnsi="Bookman Old Style" w:eastAsiaTheme="minorHAnsi" w:cstheme="minorBid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358B57CF"/>
    <w:multiLevelType w:val="multilevel"/>
    <w:tmpl w:val="358B57CF"/>
    <w:lvl w:ilvl="0" w:tentative="0">
      <w:start w:val="1"/>
      <w:numFmt w:val="decimal"/>
      <w:lvlText w:val="%1."/>
      <w:lvlJc w:val="left"/>
      <w:pPr>
        <w:ind w:left="450" w:hanging="450"/>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18">
    <w:nsid w:val="39F64EBC"/>
    <w:multiLevelType w:val="multilevel"/>
    <w:tmpl w:val="39F64EBC"/>
    <w:lvl w:ilvl="0" w:tentative="0">
      <w:start w:val="1"/>
      <w:numFmt w:val="lowerLetter"/>
      <w:lvlText w:val="%1)"/>
      <w:lvlJc w:val="left"/>
      <w:pPr>
        <w:ind w:left="1211" w:hanging="360"/>
      </w:pPr>
      <w:rPr>
        <w:rFonts w:hint="default"/>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19">
    <w:nsid w:val="3B057F6A"/>
    <w:multiLevelType w:val="multilevel"/>
    <w:tmpl w:val="3B057F6A"/>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0">
    <w:nsid w:val="4AA30316"/>
    <w:multiLevelType w:val="multilevel"/>
    <w:tmpl w:val="4AA30316"/>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1">
    <w:nsid w:val="4CA92DE2"/>
    <w:multiLevelType w:val="multilevel"/>
    <w:tmpl w:val="4CA92DE2"/>
    <w:lvl w:ilvl="0" w:tentative="0">
      <w:start w:val="1"/>
      <w:numFmt w:val="lowerLetter"/>
      <w:lvlText w:val="%1)"/>
      <w:lvlJc w:val="left"/>
      <w:pPr>
        <w:ind w:left="1211" w:hanging="360"/>
      </w:pPr>
      <w:rPr>
        <w:rFonts w:hint="default"/>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22">
    <w:nsid w:val="573848CF"/>
    <w:multiLevelType w:val="multilevel"/>
    <w:tmpl w:val="573848CF"/>
    <w:lvl w:ilvl="0" w:tentative="0">
      <w:start w:val="1"/>
      <w:numFmt w:val="lowerLetter"/>
      <w:lvlText w:val="%1)"/>
      <w:lvlJc w:val="left"/>
      <w:pPr>
        <w:ind w:left="1996" w:hanging="360"/>
      </w:pPr>
    </w:lvl>
    <w:lvl w:ilvl="1" w:tentative="0">
      <w:start w:val="1"/>
      <w:numFmt w:val="lowerLetter"/>
      <w:lvlText w:val="%2."/>
      <w:lvlJc w:val="left"/>
      <w:pPr>
        <w:ind w:left="2716" w:hanging="360"/>
      </w:pPr>
    </w:lvl>
    <w:lvl w:ilvl="2" w:tentative="0">
      <w:start w:val="1"/>
      <w:numFmt w:val="lowerRoman"/>
      <w:lvlText w:val="%3."/>
      <w:lvlJc w:val="right"/>
      <w:pPr>
        <w:ind w:left="3436" w:hanging="180"/>
      </w:pPr>
    </w:lvl>
    <w:lvl w:ilvl="3" w:tentative="0">
      <w:start w:val="1"/>
      <w:numFmt w:val="decimal"/>
      <w:lvlText w:val="%4."/>
      <w:lvlJc w:val="left"/>
      <w:pPr>
        <w:ind w:left="4156" w:hanging="360"/>
      </w:pPr>
    </w:lvl>
    <w:lvl w:ilvl="4" w:tentative="0">
      <w:start w:val="1"/>
      <w:numFmt w:val="lowerLetter"/>
      <w:lvlText w:val="%5."/>
      <w:lvlJc w:val="left"/>
      <w:pPr>
        <w:ind w:left="4876" w:hanging="360"/>
      </w:pPr>
    </w:lvl>
    <w:lvl w:ilvl="5" w:tentative="0">
      <w:start w:val="1"/>
      <w:numFmt w:val="lowerRoman"/>
      <w:lvlText w:val="%6."/>
      <w:lvlJc w:val="right"/>
      <w:pPr>
        <w:ind w:left="5596" w:hanging="180"/>
      </w:pPr>
    </w:lvl>
    <w:lvl w:ilvl="6" w:tentative="0">
      <w:start w:val="1"/>
      <w:numFmt w:val="decimal"/>
      <w:lvlText w:val="%7."/>
      <w:lvlJc w:val="left"/>
      <w:pPr>
        <w:ind w:left="6316" w:hanging="360"/>
      </w:pPr>
    </w:lvl>
    <w:lvl w:ilvl="7" w:tentative="0">
      <w:start w:val="1"/>
      <w:numFmt w:val="lowerLetter"/>
      <w:lvlText w:val="%8."/>
      <w:lvlJc w:val="left"/>
      <w:pPr>
        <w:ind w:left="7036" w:hanging="360"/>
      </w:pPr>
    </w:lvl>
    <w:lvl w:ilvl="8" w:tentative="0">
      <w:start w:val="1"/>
      <w:numFmt w:val="lowerRoman"/>
      <w:lvlText w:val="%9."/>
      <w:lvlJc w:val="right"/>
      <w:pPr>
        <w:ind w:left="7756" w:hanging="180"/>
      </w:pPr>
    </w:lvl>
  </w:abstractNum>
  <w:abstractNum w:abstractNumId="23">
    <w:nsid w:val="6A992C4D"/>
    <w:multiLevelType w:val="multilevel"/>
    <w:tmpl w:val="6A992C4D"/>
    <w:lvl w:ilvl="0" w:tentative="0">
      <w:start w:val="3"/>
      <w:numFmt w:val="decimal"/>
      <w:lvlText w:val="%1."/>
      <w:lvlJc w:val="left"/>
      <w:pPr>
        <w:ind w:left="360" w:hanging="360"/>
      </w:pPr>
      <w:rPr>
        <w:rFonts w:hint="default"/>
      </w:rPr>
    </w:lvl>
    <w:lvl w:ilvl="1" w:tentative="0">
      <w:start w:val="1"/>
      <w:numFmt w:val="decimal"/>
      <w:lvlText w:val="%1.%2."/>
      <w:lvlJc w:val="left"/>
      <w:pPr>
        <w:ind w:left="792" w:hanging="432"/>
      </w:pPr>
      <w:rPr>
        <w:rFonts w:hint="default"/>
      </w:rPr>
    </w:lvl>
    <w:lvl w:ilvl="2" w:tentative="0">
      <w:start w:val="1"/>
      <w:numFmt w:val="decimal"/>
      <w:lvlText w:val="%1.%2.%3."/>
      <w:lvlJc w:val="left"/>
      <w:pPr>
        <w:ind w:left="1781"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4">
    <w:nsid w:val="6C177D00"/>
    <w:multiLevelType w:val="multilevel"/>
    <w:tmpl w:val="6C177D00"/>
    <w:lvl w:ilvl="0" w:tentative="0">
      <w:start w:val="1"/>
      <w:numFmt w:val="decimal"/>
      <w:lvlText w:val="%1."/>
      <w:lvlJc w:val="left"/>
      <w:pPr>
        <w:ind w:left="450" w:hanging="450"/>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25">
    <w:nsid w:val="6CC17FD1"/>
    <w:multiLevelType w:val="multilevel"/>
    <w:tmpl w:val="6CC17FD1"/>
    <w:lvl w:ilvl="0" w:tentative="0">
      <w:start w:val="1"/>
      <w:numFmt w:val="lowerLetter"/>
      <w:lvlText w:val="%1)"/>
      <w:lvlJc w:val="left"/>
      <w:pPr>
        <w:ind w:left="1211" w:hanging="360"/>
      </w:pPr>
      <w:rPr>
        <w:rFonts w:hint="default"/>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26">
    <w:nsid w:val="719E0A18"/>
    <w:multiLevelType w:val="multilevel"/>
    <w:tmpl w:val="719E0A18"/>
    <w:lvl w:ilvl="0" w:tentative="0">
      <w:start w:val="1"/>
      <w:numFmt w:val="decimal"/>
      <w:lvlText w:val="%1)"/>
      <w:lvlJc w:val="left"/>
      <w:pPr>
        <w:ind w:left="1211" w:hanging="360"/>
      </w:pPr>
      <w:rPr>
        <w:rFonts w:hint="default"/>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27">
    <w:nsid w:val="74495FEC"/>
    <w:multiLevelType w:val="multilevel"/>
    <w:tmpl w:val="74495FEC"/>
    <w:lvl w:ilvl="0" w:tentative="0">
      <w:start w:val="1"/>
      <w:numFmt w:val="decimal"/>
      <w:lvlText w:val="%1)"/>
      <w:lvlJc w:val="left"/>
      <w:pPr>
        <w:ind w:left="1211" w:hanging="360"/>
      </w:pPr>
      <w:rPr>
        <w:rFonts w:hint="default"/>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abstractNum w:abstractNumId="28">
    <w:nsid w:val="7492621C"/>
    <w:multiLevelType w:val="multilevel"/>
    <w:tmpl w:val="7492621C"/>
    <w:lvl w:ilvl="0" w:tentative="0">
      <w:start w:val="1"/>
      <w:numFmt w:val="decimal"/>
      <w:lvlText w:val="%1."/>
      <w:lvlJc w:val="left"/>
      <w:pPr>
        <w:ind w:left="1429" w:hanging="360"/>
      </w:pPr>
      <w:rPr>
        <w:rFonts w:ascii="Bookman Old Style" w:hAnsi="Bookman Old Style" w:eastAsiaTheme="minorHAnsi" w:cstheme="minorBidi"/>
      </w:r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29">
    <w:nsid w:val="7A1249B8"/>
    <w:multiLevelType w:val="multilevel"/>
    <w:tmpl w:val="7A1249B8"/>
    <w:lvl w:ilvl="0" w:tentative="0">
      <w:start w:val="1"/>
      <w:numFmt w:val="decimal"/>
      <w:lvlText w:val="%1."/>
      <w:lvlJc w:val="left"/>
      <w:pPr>
        <w:ind w:left="1429" w:hanging="360"/>
      </w:pPr>
    </w:lvl>
    <w:lvl w:ilvl="1" w:tentative="0">
      <w:start w:val="1"/>
      <w:numFmt w:val="lowerLetter"/>
      <w:lvlText w:val="%2."/>
      <w:lvlJc w:val="left"/>
      <w:pPr>
        <w:ind w:left="2149" w:hanging="360"/>
      </w:pPr>
      <w:rPr>
        <w:rFonts w:ascii="Bookman Old Style" w:hAnsi="Bookman Old Style" w:eastAsia="Times New Roman" w:cs="Arial"/>
      </w:r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num w:numId="1">
    <w:abstractNumId w:val="17"/>
  </w:num>
  <w:num w:numId="2">
    <w:abstractNumId w:val="16"/>
  </w:num>
  <w:num w:numId="3">
    <w:abstractNumId w:val="5"/>
  </w:num>
  <w:num w:numId="4">
    <w:abstractNumId w:val="24"/>
  </w:num>
  <w:num w:numId="5">
    <w:abstractNumId w:val="10"/>
  </w:num>
  <w:num w:numId="6">
    <w:abstractNumId w:val="14"/>
  </w:num>
  <w:num w:numId="7">
    <w:abstractNumId w:val="28"/>
  </w:num>
  <w:num w:numId="8">
    <w:abstractNumId w:val="11"/>
  </w:num>
  <w:num w:numId="9">
    <w:abstractNumId w:val="1"/>
  </w:num>
  <w:num w:numId="10">
    <w:abstractNumId w:val="6"/>
  </w:num>
  <w:num w:numId="11">
    <w:abstractNumId w:val="2"/>
  </w:num>
  <w:num w:numId="12">
    <w:abstractNumId w:val="0"/>
  </w:num>
  <w:num w:numId="13">
    <w:abstractNumId w:val="13"/>
  </w:num>
  <w:num w:numId="14">
    <w:abstractNumId w:val="26"/>
  </w:num>
  <w:num w:numId="15">
    <w:abstractNumId w:val="12"/>
  </w:num>
  <w:num w:numId="16">
    <w:abstractNumId w:val="27"/>
  </w:num>
  <w:num w:numId="17">
    <w:abstractNumId w:val="3"/>
  </w:num>
  <w:num w:numId="18">
    <w:abstractNumId w:val="8"/>
  </w:num>
  <w:num w:numId="19">
    <w:abstractNumId w:val="4"/>
  </w:num>
  <w:num w:numId="20">
    <w:abstractNumId w:val="23"/>
  </w:num>
  <w:num w:numId="21">
    <w:abstractNumId w:val="19"/>
  </w:num>
  <w:num w:numId="22">
    <w:abstractNumId w:val="7"/>
  </w:num>
  <w:num w:numId="23">
    <w:abstractNumId w:val="29"/>
  </w:num>
  <w:num w:numId="24">
    <w:abstractNumId w:val="9"/>
  </w:num>
  <w:num w:numId="25">
    <w:abstractNumId w:val="20"/>
  </w:num>
  <w:num w:numId="26">
    <w:abstractNumId w:val="22"/>
  </w:num>
  <w:num w:numId="27">
    <w:abstractNumId w:val="25"/>
  </w:num>
  <w:num w:numId="28">
    <w:abstractNumId w:val="18"/>
  </w:num>
  <w:num w:numId="29">
    <w:abstractNumId w:val="21"/>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hideGrammaticalErrors/>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37"/>
    <w:rsid w:val="000003C8"/>
    <w:rsid w:val="000035CB"/>
    <w:rsid w:val="00021D54"/>
    <w:rsid w:val="00022EA8"/>
    <w:rsid w:val="00024780"/>
    <w:rsid w:val="0002732C"/>
    <w:rsid w:val="00027CD1"/>
    <w:rsid w:val="00027DD8"/>
    <w:rsid w:val="00030AB6"/>
    <w:rsid w:val="000346BA"/>
    <w:rsid w:val="000431A0"/>
    <w:rsid w:val="00050ED5"/>
    <w:rsid w:val="00051220"/>
    <w:rsid w:val="00052F43"/>
    <w:rsid w:val="00054F3D"/>
    <w:rsid w:val="00061507"/>
    <w:rsid w:val="00065C33"/>
    <w:rsid w:val="00066983"/>
    <w:rsid w:val="00072977"/>
    <w:rsid w:val="00072A80"/>
    <w:rsid w:val="00072B24"/>
    <w:rsid w:val="0007375C"/>
    <w:rsid w:val="00081C0B"/>
    <w:rsid w:val="00083020"/>
    <w:rsid w:val="000872C6"/>
    <w:rsid w:val="00090C31"/>
    <w:rsid w:val="00094E1F"/>
    <w:rsid w:val="000965EF"/>
    <w:rsid w:val="000A13CE"/>
    <w:rsid w:val="000A1444"/>
    <w:rsid w:val="000A29D2"/>
    <w:rsid w:val="000A2BD9"/>
    <w:rsid w:val="000A3403"/>
    <w:rsid w:val="000A58C7"/>
    <w:rsid w:val="000B13AF"/>
    <w:rsid w:val="000B1FF5"/>
    <w:rsid w:val="000B5DFC"/>
    <w:rsid w:val="000B6EFD"/>
    <w:rsid w:val="000C3605"/>
    <w:rsid w:val="000C5B38"/>
    <w:rsid w:val="000D4549"/>
    <w:rsid w:val="000D4BEA"/>
    <w:rsid w:val="000D58EF"/>
    <w:rsid w:val="000D5D55"/>
    <w:rsid w:val="000D68A0"/>
    <w:rsid w:val="000E0348"/>
    <w:rsid w:val="00100769"/>
    <w:rsid w:val="00100B40"/>
    <w:rsid w:val="0011188D"/>
    <w:rsid w:val="001162FD"/>
    <w:rsid w:val="00116383"/>
    <w:rsid w:val="00121378"/>
    <w:rsid w:val="001242C1"/>
    <w:rsid w:val="00126933"/>
    <w:rsid w:val="0013109A"/>
    <w:rsid w:val="001311BF"/>
    <w:rsid w:val="00131DA6"/>
    <w:rsid w:val="00131F62"/>
    <w:rsid w:val="00137427"/>
    <w:rsid w:val="001402C7"/>
    <w:rsid w:val="00140962"/>
    <w:rsid w:val="001422BC"/>
    <w:rsid w:val="001424A5"/>
    <w:rsid w:val="001459FA"/>
    <w:rsid w:val="00145FC3"/>
    <w:rsid w:val="001506A9"/>
    <w:rsid w:val="0015651B"/>
    <w:rsid w:val="001609A7"/>
    <w:rsid w:val="0016254B"/>
    <w:rsid w:val="001662B9"/>
    <w:rsid w:val="001669F9"/>
    <w:rsid w:val="00167727"/>
    <w:rsid w:val="0017052F"/>
    <w:rsid w:val="001709BA"/>
    <w:rsid w:val="0018055E"/>
    <w:rsid w:val="00180777"/>
    <w:rsid w:val="00183DA6"/>
    <w:rsid w:val="0018492C"/>
    <w:rsid w:val="00187659"/>
    <w:rsid w:val="001932D3"/>
    <w:rsid w:val="001A07FC"/>
    <w:rsid w:val="001A12BA"/>
    <w:rsid w:val="001A6C1D"/>
    <w:rsid w:val="001A6F83"/>
    <w:rsid w:val="001A70B3"/>
    <w:rsid w:val="001B27C2"/>
    <w:rsid w:val="001B6095"/>
    <w:rsid w:val="001B7392"/>
    <w:rsid w:val="001C0B7C"/>
    <w:rsid w:val="001C111D"/>
    <w:rsid w:val="001C119F"/>
    <w:rsid w:val="001C1712"/>
    <w:rsid w:val="001C17FC"/>
    <w:rsid w:val="001D6D0C"/>
    <w:rsid w:val="001E6D4A"/>
    <w:rsid w:val="001E77AA"/>
    <w:rsid w:val="001F193B"/>
    <w:rsid w:val="001F793D"/>
    <w:rsid w:val="00203590"/>
    <w:rsid w:val="00211230"/>
    <w:rsid w:val="00213767"/>
    <w:rsid w:val="0021753B"/>
    <w:rsid w:val="00220F15"/>
    <w:rsid w:val="00226A74"/>
    <w:rsid w:val="00227997"/>
    <w:rsid w:val="0023417A"/>
    <w:rsid w:val="002358CD"/>
    <w:rsid w:val="0023662F"/>
    <w:rsid w:val="00245328"/>
    <w:rsid w:val="00250970"/>
    <w:rsid w:val="002521CB"/>
    <w:rsid w:val="00252D0C"/>
    <w:rsid w:val="002573A4"/>
    <w:rsid w:val="00257AC3"/>
    <w:rsid w:val="00264860"/>
    <w:rsid w:val="0027193A"/>
    <w:rsid w:val="00274B2C"/>
    <w:rsid w:val="0027776C"/>
    <w:rsid w:val="002835E2"/>
    <w:rsid w:val="0028670F"/>
    <w:rsid w:val="00290069"/>
    <w:rsid w:val="00290817"/>
    <w:rsid w:val="0029131B"/>
    <w:rsid w:val="00291A17"/>
    <w:rsid w:val="00292465"/>
    <w:rsid w:val="00293313"/>
    <w:rsid w:val="002A19F0"/>
    <w:rsid w:val="002A22FF"/>
    <w:rsid w:val="002A375A"/>
    <w:rsid w:val="002A5184"/>
    <w:rsid w:val="002A7FCF"/>
    <w:rsid w:val="002B5600"/>
    <w:rsid w:val="002B70D4"/>
    <w:rsid w:val="002C21E8"/>
    <w:rsid w:val="002C56EE"/>
    <w:rsid w:val="002C6682"/>
    <w:rsid w:val="002D478A"/>
    <w:rsid w:val="002D7484"/>
    <w:rsid w:val="002E07A4"/>
    <w:rsid w:val="002E5397"/>
    <w:rsid w:val="002F49A0"/>
    <w:rsid w:val="002F570A"/>
    <w:rsid w:val="002F7D6F"/>
    <w:rsid w:val="0031074C"/>
    <w:rsid w:val="0031102A"/>
    <w:rsid w:val="00313AF8"/>
    <w:rsid w:val="003161F9"/>
    <w:rsid w:val="0031719E"/>
    <w:rsid w:val="00320507"/>
    <w:rsid w:val="00321A55"/>
    <w:rsid w:val="00324196"/>
    <w:rsid w:val="00327B80"/>
    <w:rsid w:val="00332A2C"/>
    <w:rsid w:val="00332CB2"/>
    <w:rsid w:val="00334A87"/>
    <w:rsid w:val="00335CC6"/>
    <w:rsid w:val="00335D53"/>
    <w:rsid w:val="0033699F"/>
    <w:rsid w:val="0034391B"/>
    <w:rsid w:val="003449AE"/>
    <w:rsid w:val="00352E07"/>
    <w:rsid w:val="00353D2D"/>
    <w:rsid w:val="00353D36"/>
    <w:rsid w:val="00355FBC"/>
    <w:rsid w:val="003607BB"/>
    <w:rsid w:val="00360F99"/>
    <w:rsid w:val="00376AE8"/>
    <w:rsid w:val="00380E92"/>
    <w:rsid w:val="003906B6"/>
    <w:rsid w:val="00397BFC"/>
    <w:rsid w:val="003A7868"/>
    <w:rsid w:val="003B3FC0"/>
    <w:rsid w:val="003B565A"/>
    <w:rsid w:val="003C08EE"/>
    <w:rsid w:val="003C17BA"/>
    <w:rsid w:val="003C3EB8"/>
    <w:rsid w:val="003C6DE2"/>
    <w:rsid w:val="003D1465"/>
    <w:rsid w:val="003D4009"/>
    <w:rsid w:val="003D569D"/>
    <w:rsid w:val="003E209B"/>
    <w:rsid w:val="003F014F"/>
    <w:rsid w:val="003F1C61"/>
    <w:rsid w:val="003F47A4"/>
    <w:rsid w:val="003F4CC7"/>
    <w:rsid w:val="003F50F1"/>
    <w:rsid w:val="00412662"/>
    <w:rsid w:val="00414531"/>
    <w:rsid w:val="00414D57"/>
    <w:rsid w:val="004200E4"/>
    <w:rsid w:val="004333F5"/>
    <w:rsid w:val="00436C6D"/>
    <w:rsid w:val="00441452"/>
    <w:rsid w:val="00444B89"/>
    <w:rsid w:val="00445894"/>
    <w:rsid w:val="00462D5E"/>
    <w:rsid w:val="00465098"/>
    <w:rsid w:val="00465BBE"/>
    <w:rsid w:val="004668C6"/>
    <w:rsid w:val="00485C62"/>
    <w:rsid w:val="00490183"/>
    <w:rsid w:val="004A0E56"/>
    <w:rsid w:val="004A1BC5"/>
    <w:rsid w:val="004A3390"/>
    <w:rsid w:val="004A4926"/>
    <w:rsid w:val="004A4F68"/>
    <w:rsid w:val="004C09DB"/>
    <w:rsid w:val="004C337A"/>
    <w:rsid w:val="004D3527"/>
    <w:rsid w:val="004D3701"/>
    <w:rsid w:val="004D3DF5"/>
    <w:rsid w:val="004D4E84"/>
    <w:rsid w:val="004D6A6F"/>
    <w:rsid w:val="004E35AE"/>
    <w:rsid w:val="004E4414"/>
    <w:rsid w:val="004E4587"/>
    <w:rsid w:val="004F110E"/>
    <w:rsid w:val="004F1BB7"/>
    <w:rsid w:val="004F3D07"/>
    <w:rsid w:val="004F42F5"/>
    <w:rsid w:val="004F733C"/>
    <w:rsid w:val="00503F4E"/>
    <w:rsid w:val="00505431"/>
    <w:rsid w:val="00517A71"/>
    <w:rsid w:val="0052361F"/>
    <w:rsid w:val="00526298"/>
    <w:rsid w:val="0052649C"/>
    <w:rsid w:val="00530C0B"/>
    <w:rsid w:val="00534208"/>
    <w:rsid w:val="00535DF4"/>
    <w:rsid w:val="00540E45"/>
    <w:rsid w:val="005433FA"/>
    <w:rsid w:val="00547D6B"/>
    <w:rsid w:val="00550948"/>
    <w:rsid w:val="00551280"/>
    <w:rsid w:val="00551627"/>
    <w:rsid w:val="00553B56"/>
    <w:rsid w:val="00554F19"/>
    <w:rsid w:val="005563C9"/>
    <w:rsid w:val="00556B16"/>
    <w:rsid w:val="00566C2D"/>
    <w:rsid w:val="005700F5"/>
    <w:rsid w:val="00570132"/>
    <w:rsid w:val="005758EE"/>
    <w:rsid w:val="00576A4E"/>
    <w:rsid w:val="005809F4"/>
    <w:rsid w:val="005929DE"/>
    <w:rsid w:val="00595C81"/>
    <w:rsid w:val="005A01CC"/>
    <w:rsid w:val="005A3979"/>
    <w:rsid w:val="005B6BA2"/>
    <w:rsid w:val="005B7ABC"/>
    <w:rsid w:val="005C1D9D"/>
    <w:rsid w:val="005C27F3"/>
    <w:rsid w:val="005C5B04"/>
    <w:rsid w:val="005D1143"/>
    <w:rsid w:val="005D32D6"/>
    <w:rsid w:val="005D47A6"/>
    <w:rsid w:val="005D671D"/>
    <w:rsid w:val="005E6062"/>
    <w:rsid w:val="005E6B2B"/>
    <w:rsid w:val="005F2E26"/>
    <w:rsid w:val="005F5761"/>
    <w:rsid w:val="0061175F"/>
    <w:rsid w:val="00615933"/>
    <w:rsid w:val="00623BF6"/>
    <w:rsid w:val="006260C8"/>
    <w:rsid w:val="0063000E"/>
    <w:rsid w:val="0063048D"/>
    <w:rsid w:val="006376CA"/>
    <w:rsid w:val="00640EE5"/>
    <w:rsid w:val="00641218"/>
    <w:rsid w:val="0064352B"/>
    <w:rsid w:val="00644A0D"/>
    <w:rsid w:val="006464BE"/>
    <w:rsid w:val="00646EBE"/>
    <w:rsid w:val="0065278F"/>
    <w:rsid w:val="006533DC"/>
    <w:rsid w:val="00655B29"/>
    <w:rsid w:val="006563B5"/>
    <w:rsid w:val="00660A7D"/>
    <w:rsid w:val="006612C7"/>
    <w:rsid w:val="006631FA"/>
    <w:rsid w:val="00664E4A"/>
    <w:rsid w:val="0067209E"/>
    <w:rsid w:val="00675BC3"/>
    <w:rsid w:val="00680037"/>
    <w:rsid w:val="0068159F"/>
    <w:rsid w:val="006826C2"/>
    <w:rsid w:val="00684F28"/>
    <w:rsid w:val="0069533C"/>
    <w:rsid w:val="0069551C"/>
    <w:rsid w:val="006A0EAD"/>
    <w:rsid w:val="006B020E"/>
    <w:rsid w:val="006B2D91"/>
    <w:rsid w:val="006B4573"/>
    <w:rsid w:val="006C1DBB"/>
    <w:rsid w:val="006C39B5"/>
    <w:rsid w:val="006D499F"/>
    <w:rsid w:val="006D6EEA"/>
    <w:rsid w:val="006E2131"/>
    <w:rsid w:val="006E2ED5"/>
    <w:rsid w:val="006E5B63"/>
    <w:rsid w:val="007077B2"/>
    <w:rsid w:val="00712925"/>
    <w:rsid w:val="007256CF"/>
    <w:rsid w:val="00726F2B"/>
    <w:rsid w:val="00730D0E"/>
    <w:rsid w:val="00731361"/>
    <w:rsid w:val="00737129"/>
    <w:rsid w:val="007433B5"/>
    <w:rsid w:val="0074789F"/>
    <w:rsid w:val="00762FA9"/>
    <w:rsid w:val="00764828"/>
    <w:rsid w:val="00764C9F"/>
    <w:rsid w:val="007659C5"/>
    <w:rsid w:val="007660E5"/>
    <w:rsid w:val="00771A12"/>
    <w:rsid w:val="00780D11"/>
    <w:rsid w:val="00781CE1"/>
    <w:rsid w:val="007A0211"/>
    <w:rsid w:val="007A02F3"/>
    <w:rsid w:val="007A27C4"/>
    <w:rsid w:val="007A555E"/>
    <w:rsid w:val="007A6CED"/>
    <w:rsid w:val="007A7043"/>
    <w:rsid w:val="007B5815"/>
    <w:rsid w:val="007D0F9B"/>
    <w:rsid w:val="007D2913"/>
    <w:rsid w:val="007D579A"/>
    <w:rsid w:val="007E6317"/>
    <w:rsid w:val="007F2106"/>
    <w:rsid w:val="007F532C"/>
    <w:rsid w:val="008007F1"/>
    <w:rsid w:val="00833616"/>
    <w:rsid w:val="00835A16"/>
    <w:rsid w:val="0084526B"/>
    <w:rsid w:val="008463A2"/>
    <w:rsid w:val="00847100"/>
    <w:rsid w:val="0084726C"/>
    <w:rsid w:val="0085043D"/>
    <w:rsid w:val="00851DF7"/>
    <w:rsid w:val="00854E58"/>
    <w:rsid w:val="008554FB"/>
    <w:rsid w:val="008563BD"/>
    <w:rsid w:val="00857849"/>
    <w:rsid w:val="008601C3"/>
    <w:rsid w:val="00872699"/>
    <w:rsid w:val="008779D1"/>
    <w:rsid w:val="00890470"/>
    <w:rsid w:val="00892528"/>
    <w:rsid w:val="00895894"/>
    <w:rsid w:val="008A224D"/>
    <w:rsid w:val="008A53B7"/>
    <w:rsid w:val="008A76D0"/>
    <w:rsid w:val="008B48B3"/>
    <w:rsid w:val="008B6771"/>
    <w:rsid w:val="008C1331"/>
    <w:rsid w:val="008C27E1"/>
    <w:rsid w:val="008D2DD8"/>
    <w:rsid w:val="008D7BA5"/>
    <w:rsid w:val="008E4A7A"/>
    <w:rsid w:val="008E7C72"/>
    <w:rsid w:val="008F672B"/>
    <w:rsid w:val="008F74F2"/>
    <w:rsid w:val="00900897"/>
    <w:rsid w:val="00905602"/>
    <w:rsid w:val="00911E6C"/>
    <w:rsid w:val="009143FF"/>
    <w:rsid w:val="009156A2"/>
    <w:rsid w:val="00917340"/>
    <w:rsid w:val="00917391"/>
    <w:rsid w:val="009214B8"/>
    <w:rsid w:val="00925070"/>
    <w:rsid w:val="00930FB9"/>
    <w:rsid w:val="00935E49"/>
    <w:rsid w:val="0094118F"/>
    <w:rsid w:val="00942610"/>
    <w:rsid w:val="00945CAC"/>
    <w:rsid w:val="00950BAA"/>
    <w:rsid w:val="0095433C"/>
    <w:rsid w:val="00955626"/>
    <w:rsid w:val="00956D73"/>
    <w:rsid w:val="00957A85"/>
    <w:rsid w:val="00960359"/>
    <w:rsid w:val="00962DE9"/>
    <w:rsid w:val="00963958"/>
    <w:rsid w:val="0097288D"/>
    <w:rsid w:val="00974969"/>
    <w:rsid w:val="0097688E"/>
    <w:rsid w:val="0098014F"/>
    <w:rsid w:val="00980527"/>
    <w:rsid w:val="00982D3E"/>
    <w:rsid w:val="00984048"/>
    <w:rsid w:val="0099042F"/>
    <w:rsid w:val="00990B38"/>
    <w:rsid w:val="009962C7"/>
    <w:rsid w:val="009A2F4F"/>
    <w:rsid w:val="009B17FE"/>
    <w:rsid w:val="009B5680"/>
    <w:rsid w:val="009C3153"/>
    <w:rsid w:val="009C74B4"/>
    <w:rsid w:val="009C7859"/>
    <w:rsid w:val="009D017D"/>
    <w:rsid w:val="009D1129"/>
    <w:rsid w:val="009D4284"/>
    <w:rsid w:val="009D6A44"/>
    <w:rsid w:val="009E1272"/>
    <w:rsid w:val="009F40A6"/>
    <w:rsid w:val="00A011B5"/>
    <w:rsid w:val="00A01DC8"/>
    <w:rsid w:val="00A02D4C"/>
    <w:rsid w:val="00A03FAA"/>
    <w:rsid w:val="00A074D4"/>
    <w:rsid w:val="00A107A5"/>
    <w:rsid w:val="00A12466"/>
    <w:rsid w:val="00A1659C"/>
    <w:rsid w:val="00A220A4"/>
    <w:rsid w:val="00A222FF"/>
    <w:rsid w:val="00A23190"/>
    <w:rsid w:val="00A27B21"/>
    <w:rsid w:val="00A32135"/>
    <w:rsid w:val="00A4131B"/>
    <w:rsid w:val="00A42D07"/>
    <w:rsid w:val="00A44BAF"/>
    <w:rsid w:val="00A44FD0"/>
    <w:rsid w:val="00A4525F"/>
    <w:rsid w:val="00A45E26"/>
    <w:rsid w:val="00A5119B"/>
    <w:rsid w:val="00A617CE"/>
    <w:rsid w:val="00A65B28"/>
    <w:rsid w:val="00A67F0E"/>
    <w:rsid w:val="00A71EF8"/>
    <w:rsid w:val="00A753C9"/>
    <w:rsid w:val="00A766F3"/>
    <w:rsid w:val="00A8087D"/>
    <w:rsid w:val="00A84464"/>
    <w:rsid w:val="00A855EF"/>
    <w:rsid w:val="00A97365"/>
    <w:rsid w:val="00AA237F"/>
    <w:rsid w:val="00AA289F"/>
    <w:rsid w:val="00AA55CA"/>
    <w:rsid w:val="00AB29A6"/>
    <w:rsid w:val="00AB6776"/>
    <w:rsid w:val="00AB74D0"/>
    <w:rsid w:val="00AD2F5B"/>
    <w:rsid w:val="00AD6079"/>
    <w:rsid w:val="00AD60AE"/>
    <w:rsid w:val="00AD632D"/>
    <w:rsid w:val="00AE13F5"/>
    <w:rsid w:val="00AE23CB"/>
    <w:rsid w:val="00AF0297"/>
    <w:rsid w:val="00AF21AD"/>
    <w:rsid w:val="00AF4600"/>
    <w:rsid w:val="00AF69CB"/>
    <w:rsid w:val="00AF7B5D"/>
    <w:rsid w:val="00B012C2"/>
    <w:rsid w:val="00B076AB"/>
    <w:rsid w:val="00B14A48"/>
    <w:rsid w:val="00B170A7"/>
    <w:rsid w:val="00B201F6"/>
    <w:rsid w:val="00B206D0"/>
    <w:rsid w:val="00B2368D"/>
    <w:rsid w:val="00B27973"/>
    <w:rsid w:val="00B333B8"/>
    <w:rsid w:val="00B36DDF"/>
    <w:rsid w:val="00B412DA"/>
    <w:rsid w:val="00B451C7"/>
    <w:rsid w:val="00B477AA"/>
    <w:rsid w:val="00B47F7E"/>
    <w:rsid w:val="00B5188D"/>
    <w:rsid w:val="00B52AAC"/>
    <w:rsid w:val="00B55A3E"/>
    <w:rsid w:val="00B657B1"/>
    <w:rsid w:val="00B72D96"/>
    <w:rsid w:val="00B73242"/>
    <w:rsid w:val="00B76EF6"/>
    <w:rsid w:val="00B80C52"/>
    <w:rsid w:val="00B82985"/>
    <w:rsid w:val="00B86BA9"/>
    <w:rsid w:val="00B91FEC"/>
    <w:rsid w:val="00B929CD"/>
    <w:rsid w:val="00B92A62"/>
    <w:rsid w:val="00BA4A8D"/>
    <w:rsid w:val="00BB1285"/>
    <w:rsid w:val="00BB23C9"/>
    <w:rsid w:val="00BB40EE"/>
    <w:rsid w:val="00BC2F4D"/>
    <w:rsid w:val="00BC37A2"/>
    <w:rsid w:val="00BD16F6"/>
    <w:rsid w:val="00BD3ABB"/>
    <w:rsid w:val="00BE3FDD"/>
    <w:rsid w:val="00BE5E78"/>
    <w:rsid w:val="00BE6B4C"/>
    <w:rsid w:val="00BE6BB8"/>
    <w:rsid w:val="00BF5410"/>
    <w:rsid w:val="00C002FD"/>
    <w:rsid w:val="00C012BA"/>
    <w:rsid w:val="00C05D7A"/>
    <w:rsid w:val="00C06061"/>
    <w:rsid w:val="00C07558"/>
    <w:rsid w:val="00C11C35"/>
    <w:rsid w:val="00C12609"/>
    <w:rsid w:val="00C13430"/>
    <w:rsid w:val="00C13810"/>
    <w:rsid w:val="00C16645"/>
    <w:rsid w:val="00C22CD9"/>
    <w:rsid w:val="00C24149"/>
    <w:rsid w:val="00C31BFA"/>
    <w:rsid w:val="00C31C47"/>
    <w:rsid w:val="00C32CBF"/>
    <w:rsid w:val="00C40073"/>
    <w:rsid w:val="00C44EF2"/>
    <w:rsid w:val="00C46A23"/>
    <w:rsid w:val="00C46FAC"/>
    <w:rsid w:val="00C5375C"/>
    <w:rsid w:val="00C57319"/>
    <w:rsid w:val="00C635CE"/>
    <w:rsid w:val="00C66F44"/>
    <w:rsid w:val="00C7560E"/>
    <w:rsid w:val="00C775C9"/>
    <w:rsid w:val="00C83296"/>
    <w:rsid w:val="00C8572E"/>
    <w:rsid w:val="00C878E0"/>
    <w:rsid w:val="00C87EC0"/>
    <w:rsid w:val="00C915F0"/>
    <w:rsid w:val="00C91DA0"/>
    <w:rsid w:val="00C92F4C"/>
    <w:rsid w:val="00C95E19"/>
    <w:rsid w:val="00C96F55"/>
    <w:rsid w:val="00CA0423"/>
    <w:rsid w:val="00CA09A2"/>
    <w:rsid w:val="00CA32EC"/>
    <w:rsid w:val="00CA41C6"/>
    <w:rsid w:val="00CB422C"/>
    <w:rsid w:val="00CB4835"/>
    <w:rsid w:val="00CC3125"/>
    <w:rsid w:val="00CC601F"/>
    <w:rsid w:val="00CD1E2F"/>
    <w:rsid w:val="00CD2E03"/>
    <w:rsid w:val="00CD3F6F"/>
    <w:rsid w:val="00CD56C8"/>
    <w:rsid w:val="00CD7BD7"/>
    <w:rsid w:val="00CE382B"/>
    <w:rsid w:val="00CE6310"/>
    <w:rsid w:val="00D0528E"/>
    <w:rsid w:val="00D13EB5"/>
    <w:rsid w:val="00D15107"/>
    <w:rsid w:val="00D15E00"/>
    <w:rsid w:val="00D16042"/>
    <w:rsid w:val="00D272A6"/>
    <w:rsid w:val="00D3082A"/>
    <w:rsid w:val="00D32D44"/>
    <w:rsid w:val="00D35D38"/>
    <w:rsid w:val="00D410FC"/>
    <w:rsid w:val="00D42B8F"/>
    <w:rsid w:val="00D44E33"/>
    <w:rsid w:val="00D464A3"/>
    <w:rsid w:val="00D47D60"/>
    <w:rsid w:val="00D51CCD"/>
    <w:rsid w:val="00D57641"/>
    <w:rsid w:val="00D60563"/>
    <w:rsid w:val="00D62EB7"/>
    <w:rsid w:val="00D64A03"/>
    <w:rsid w:val="00D671D0"/>
    <w:rsid w:val="00D756C2"/>
    <w:rsid w:val="00D76AEB"/>
    <w:rsid w:val="00D76ECC"/>
    <w:rsid w:val="00D8044E"/>
    <w:rsid w:val="00D815C5"/>
    <w:rsid w:val="00D82A40"/>
    <w:rsid w:val="00D8373B"/>
    <w:rsid w:val="00D83FA8"/>
    <w:rsid w:val="00D92076"/>
    <w:rsid w:val="00DA40C8"/>
    <w:rsid w:val="00DA6249"/>
    <w:rsid w:val="00DA6F4C"/>
    <w:rsid w:val="00DA7CC2"/>
    <w:rsid w:val="00DB1720"/>
    <w:rsid w:val="00DB5105"/>
    <w:rsid w:val="00DB72DE"/>
    <w:rsid w:val="00DC3A18"/>
    <w:rsid w:val="00DC3F93"/>
    <w:rsid w:val="00DC4E35"/>
    <w:rsid w:val="00DC5ED5"/>
    <w:rsid w:val="00DD01AD"/>
    <w:rsid w:val="00DD2D34"/>
    <w:rsid w:val="00DE46FB"/>
    <w:rsid w:val="00DE5EA1"/>
    <w:rsid w:val="00DE6FBC"/>
    <w:rsid w:val="00DF51DA"/>
    <w:rsid w:val="00E00206"/>
    <w:rsid w:val="00E0204B"/>
    <w:rsid w:val="00E0555F"/>
    <w:rsid w:val="00E05638"/>
    <w:rsid w:val="00E06C65"/>
    <w:rsid w:val="00E1143A"/>
    <w:rsid w:val="00E130D0"/>
    <w:rsid w:val="00E17994"/>
    <w:rsid w:val="00E210E0"/>
    <w:rsid w:val="00E218C5"/>
    <w:rsid w:val="00E21F7F"/>
    <w:rsid w:val="00E23BFB"/>
    <w:rsid w:val="00E24363"/>
    <w:rsid w:val="00E24D6C"/>
    <w:rsid w:val="00E45ED7"/>
    <w:rsid w:val="00E625AC"/>
    <w:rsid w:val="00E6458F"/>
    <w:rsid w:val="00E65945"/>
    <w:rsid w:val="00E67136"/>
    <w:rsid w:val="00E73CFB"/>
    <w:rsid w:val="00E75456"/>
    <w:rsid w:val="00E779B7"/>
    <w:rsid w:val="00E812F0"/>
    <w:rsid w:val="00E85D97"/>
    <w:rsid w:val="00E8787A"/>
    <w:rsid w:val="00E94A4E"/>
    <w:rsid w:val="00EA1F10"/>
    <w:rsid w:val="00EA4AC1"/>
    <w:rsid w:val="00EA61F4"/>
    <w:rsid w:val="00EB1DE7"/>
    <w:rsid w:val="00EB38D9"/>
    <w:rsid w:val="00EB6BF1"/>
    <w:rsid w:val="00EC0EDA"/>
    <w:rsid w:val="00EC5B86"/>
    <w:rsid w:val="00EC6FBC"/>
    <w:rsid w:val="00EC7762"/>
    <w:rsid w:val="00ED09AB"/>
    <w:rsid w:val="00ED13AC"/>
    <w:rsid w:val="00ED1C4A"/>
    <w:rsid w:val="00EE1493"/>
    <w:rsid w:val="00EE2118"/>
    <w:rsid w:val="00EE5678"/>
    <w:rsid w:val="00EE5BC9"/>
    <w:rsid w:val="00EE60B3"/>
    <w:rsid w:val="00EF7010"/>
    <w:rsid w:val="00EF71B9"/>
    <w:rsid w:val="00F00BA3"/>
    <w:rsid w:val="00F13B86"/>
    <w:rsid w:val="00F16F9A"/>
    <w:rsid w:val="00F17119"/>
    <w:rsid w:val="00F3001B"/>
    <w:rsid w:val="00F34C19"/>
    <w:rsid w:val="00F36D48"/>
    <w:rsid w:val="00F37EC5"/>
    <w:rsid w:val="00F40A14"/>
    <w:rsid w:val="00F41177"/>
    <w:rsid w:val="00F4189C"/>
    <w:rsid w:val="00F47AE4"/>
    <w:rsid w:val="00F51652"/>
    <w:rsid w:val="00F544AB"/>
    <w:rsid w:val="00F55C22"/>
    <w:rsid w:val="00F57A5A"/>
    <w:rsid w:val="00F72205"/>
    <w:rsid w:val="00F72CE5"/>
    <w:rsid w:val="00F73E54"/>
    <w:rsid w:val="00F84A40"/>
    <w:rsid w:val="00F90B22"/>
    <w:rsid w:val="00F97974"/>
    <w:rsid w:val="00FA107A"/>
    <w:rsid w:val="00FA2001"/>
    <w:rsid w:val="00FA2862"/>
    <w:rsid w:val="00FB10B8"/>
    <w:rsid w:val="00FB4DF9"/>
    <w:rsid w:val="00FC249C"/>
    <w:rsid w:val="00FC65D2"/>
    <w:rsid w:val="00FC7E3F"/>
    <w:rsid w:val="00FD09E2"/>
    <w:rsid w:val="00FD20D2"/>
    <w:rsid w:val="00FD53EC"/>
    <w:rsid w:val="00FD6728"/>
    <w:rsid w:val="00FE4188"/>
    <w:rsid w:val="00FE48DF"/>
    <w:rsid w:val="00FF0919"/>
    <w:rsid w:val="00FF18EF"/>
    <w:rsid w:val="00FF695E"/>
    <w:rsid w:val="219F3480"/>
  </w:rsids>
  <m:mathPr>
    <m:mathFont m:val="Cambria Math"/>
    <m:brkBin m:val="before"/>
    <m:brkBinSub m:val="--"/>
    <m:smallFrac m:val="1"/>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paragraph" w:styleId="2">
    <w:name w:val="heading 1"/>
    <w:basedOn w:val="1"/>
    <w:next w:val="1"/>
    <w:link w:val="13"/>
    <w:qFormat/>
    <w:uiPriority w:val="9"/>
    <w:pPr>
      <w:keepNext/>
      <w:spacing w:after="0" w:line="360" w:lineRule="auto"/>
      <w:ind w:left="360"/>
      <w:jc w:val="center"/>
      <w:outlineLvl w:val="0"/>
    </w:pPr>
    <w:rPr>
      <w:rFonts w:ascii="Times New Roman" w:hAnsi="Times New Roman" w:eastAsia="Times New Roman"/>
      <w:b/>
      <w:bCs/>
      <w:sz w:val="24"/>
      <w:szCs w:val="24"/>
      <w:lang w:val="id-ID" w:eastAsia="ja-JP"/>
    </w:rPr>
  </w:style>
  <w:style w:type="paragraph" w:styleId="3">
    <w:name w:val="heading 2"/>
    <w:basedOn w:val="1"/>
    <w:next w:val="1"/>
    <w:link w:val="14"/>
    <w:semiHidden/>
    <w:unhideWhenUsed/>
    <w:qFormat/>
    <w:uiPriority w:val="9"/>
    <w:pPr>
      <w:keepNext/>
      <w:keepLines/>
      <w:spacing w:before="40" w:after="0"/>
      <w:outlineLvl w:val="1"/>
    </w:pPr>
    <w:rPr>
      <w:rFonts w:asciiTheme="majorHAnsi" w:hAnsiTheme="majorHAnsi" w:eastAsiaTheme="majorEastAsia" w:cstheme="majorBidi"/>
      <w:color w:val="376092" w:themeColor="accent1" w:themeShade="BF"/>
      <w:sz w:val="26"/>
      <w:szCs w:val="26"/>
    </w:rPr>
  </w:style>
  <w:style w:type="character" w:default="1" w:styleId="10">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Balloon Text"/>
    <w:basedOn w:val="1"/>
    <w:link w:val="16"/>
    <w:semiHidden/>
    <w:unhideWhenUsed/>
    <w:uiPriority w:val="99"/>
    <w:pPr>
      <w:spacing w:after="0" w:line="240" w:lineRule="auto"/>
    </w:pPr>
    <w:rPr>
      <w:rFonts w:ascii="Tahoma" w:hAnsi="Tahoma" w:cs="Tahoma"/>
      <w:sz w:val="16"/>
      <w:szCs w:val="16"/>
    </w:rPr>
  </w:style>
  <w:style w:type="paragraph" w:styleId="5">
    <w:name w:val="Body Text"/>
    <w:basedOn w:val="1"/>
    <w:link w:val="24"/>
    <w:semiHidden/>
    <w:unhideWhenUsed/>
    <w:uiPriority w:val="99"/>
    <w:pPr>
      <w:spacing w:after="120" w:line="240" w:lineRule="auto"/>
    </w:pPr>
    <w:rPr>
      <w:rFonts w:ascii="Times New Roman" w:hAnsi="Times New Roman" w:eastAsia="Times New Roman"/>
      <w:sz w:val="24"/>
      <w:szCs w:val="24"/>
    </w:rPr>
  </w:style>
  <w:style w:type="paragraph" w:styleId="6">
    <w:name w:val="Body Text Indent"/>
    <w:basedOn w:val="1"/>
    <w:link w:val="23"/>
    <w:semiHidden/>
    <w:unhideWhenUsed/>
    <w:uiPriority w:val="99"/>
    <w:pPr>
      <w:spacing w:after="120"/>
      <w:ind w:left="283"/>
    </w:pPr>
  </w:style>
  <w:style w:type="paragraph" w:styleId="7">
    <w:name w:val="Body Text Indent 2"/>
    <w:basedOn w:val="1"/>
    <w:link w:val="21"/>
    <w:uiPriority w:val="0"/>
    <w:pPr>
      <w:tabs>
        <w:tab w:val="left" w:pos="1620"/>
        <w:tab w:val="left" w:pos="1800"/>
        <w:tab w:val="left" w:pos="2880"/>
        <w:tab w:val="left" w:pos="5040"/>
        <w:tab w:val="left" w:pos="5760"/>
        <w:tab w:val="left" w:pos="6120"/>
        <w:tab w:val="left" w:pos="6480"/>
      </w:tabs>
      <w:suppressAutoHyphens/>
      <w:spacing w:after="0" w:line="360" w:lineRule="auto"/>
      <w:ind w:left="1620" w:hanging="1620"/>
      <w:jc w:val="both"/>
    </w:pPr>
    <w:rPr>
      <w:rFonts w:asciiTheme="minorHAnsi" w:hAnsiTheme="minorHAnsi" w:eastAsiaTheme="minorHAnsi" w:cstheme="minorBidi"/>
      <w:sz w:val="24"/>
      <w:szCs w:val="24"/>
      <w:lang w:val="en-GB" w:eastAsia="zh-CN"/>
    </w:rPr>
  </w:style>
  <w:style w:type="paragraph" w:styleId="8">
    <w:name w:val="footer"/>
    <w:basedOn w:val="1"/>
    <w:link w:val="20"/>
    <w:unhideWhenUsed/>
    <w:uiPriority w:val="99"/>
    <w:pPr>
      <w:tabs>
        <w:tab w:val="center" w:pos="4513"/>
        <w:tab w:val="right" w:pos="9026"/>
      </w:tabs>
      <w:spacing w:after="0" w:line="240" w:lineRule="auto"/>
    </w:pPr>
  </w:style>
  <w:style w:type="paragraph" w:styleId="9">
    <w:name w:val="header"/>
    <w:basedOn w:val="1"/>
    <w:link w:val="19"/>
    <w:unhideWhenUsed/>
    <w:uiPriority w:val="99"/>
    <w:pPr>
      <w:tabs>
        <w:tab w:val="center" w:pos="4513"/>
        <w:tab w:val="right" w:pos="9026"/>
      </w:tabs>
      <w:spacing w:after="0" w:line="240" w:lineRule="auto"/>
    </w:pPr>
  </w:style>
  <w:style w:type="character" w:styleId="11">
    <w:name w:val="Emphasis"/>
    <w:qFormat/>
    <w:uiPriority w:val="0"/>
    <w:rPr>
      <w:i/>
      <w:iCs/>
    </w:rPr>
  </w:style>
  <w:style w:type="character" w:customStyle="1" w:styleId="13">
    <w:name w:val="Heading 1 Char"/>
    <w:basedOn w:val="10"/>
    <w:link w:val="2"/>
    <w:uiPriority w:val="9"/>
    <w:rPr>
      <w:rFonts w:ascii="Times New Roman" w:hAnsi="Times New Roman" w:eastAsia="Times New Roman" w:cs="Times New Roman"/>
      <w:b/>
      <w:bCs/>
      <w:sz w:val="24"/>
      <w:szCs w:val="24"/>
      <w:lang w:eastAsia="ja-JP"/>
    </w:rPr>
  </w:style>
  <w:style w:type="character" w:customStyle="1" w:styleId="14">
    <w:name w:val="Heading 2 Char"/>
    <w:basedOn w:val="10"/>
    <w:link w:val="3"/>
    <w:uiPriority w:val="9"/>
    <w:rPr>
      <w:rFonts w:asciiTheme="majorHAnsi" w:hAnsiTheme="majorHAnsi" w:eastAsiaTheme="majorEastAsia" w:cstheme="majorBidi"/>
      <w:color w:val="376092" w:themeColor="accent1" w:themeShade="BF"/>
      <w:sz w:val="26"/>
      <w:szCs w:val="26"/>
      <w:lang w:val="en-US"/>
    </w:rPr>
  </w:style>
  <w:style w:type="paragraph" w:styleId="15">
    <w:name w:val="No Spacing"/>
    <w:qFormat/>
    <w:uiPriority w:val="1"/>
    <w:pPr>
      <w:spacing w:after="0" w:line="240" w:lineRule="auto"/>
    </w:pPr>
    <w:rPr>
      <w:rFonts w:asciiTheme="minorHAnsi" w:hAnsiTheme="minorHAnsi" w:eastAsiaTheme="minorHAnsi" w:cstheme="minorBidi"/>
      <w:sz w:val="22"/>
      <w:szCs w:val="22"/>
      <w:lang w:val="id-ID" w:eastAsia="en-US" w:bidi="ar-SA"/>
    </w:rPr>
  </w:style>
  <w:style w:type="character" w:customStyle="1" w:styleId="16">
    <w:name w:val="Balloon Text Char"/>
    <w:basedOn w:val="10"/>
    <w:link w:val="4"/>
    <w:semiHidden/>
    <w:uiPriority w:val="99"/>
    <w:rPr>
      <w:rFonts w:ascii="Tahoma" w:hAnsi="Tahoma" w:cs="Tahoma"/>
      <w:sz w:val="16"/>
      <w:szCs w:val="16"/>
    </w:rPr>
  </w:style>
  <w:style w:type="character" w:customStyle="1" w:styleId="17">
    <w:name w:val="WW8Num70z0"/>
    <w:uiPriority w:val="0"/>
    <w:rPr>
      <w:b/>
      <w:sz w:val="22"/>
      <w:szCs w:val="22"/>
    </w:rPr>
  </w:style>
  <w:style w:type="paragraph" w:styleId="18">
    <w:name w:val="List Paragraph"/>
    <w:basedOn w:val="1"/>
    <w:link w:val="78"/>
    <w:qFormat/>
    <w:uiPriority w:val="34"/>
    <w:pPr>
      <w:suppressAutoHyphens/>
      <w:spacing w:before="120" w:after="0" w:line="360" w:lineRule="auto"/>
      <w:ind w:left="720"/>
      <w:contextualSpacing/>
      <w:jc w:val="both"/>
    </w:pPr>
    <w:rPr>
      <w:rFonts w:ascii="Times New Roman" w:hAnsi="Times New Roman" w:eastAsia="SimSun"/>
      <w:sz w:val="24"/>
      <w:szCs w:val="24"/>
      <w:lang w:eastAsia="zh-CN"/>
    </w:rPr>
  </w:style>
  <w:style w:type="character" w:customStyle="1" w:styleId="19">
    <w:name w:val="Header Char"/>
    <w:basedOn w:val="10"/>
    <w:link w:val="9"/>
    <w:uiPriority w:val="99"/>
    <w:rPr>
      <w:rFonts w:ascii="Calibri" w:hAnsi="Calibri" w:eastAsia="Calibri" w:cs="Times New Roman"/>
      <w:lang w:val="en-US"/>
    </w:rPr>
  </w:style>
  <w:style w:type="character" w:customStyle="1" w:styleId="20">
    <w:name w:val="Footer Char"/>
    <w:basedOn w:val="10"/>
    <w:link w:val="8"/>
    <w:uiPriority w:val="99"/>
    <w:rPr>
      <w:rFonts w:ascii="Calibri" w:hAnsi="Calibri" w:eastAsia="Calibri" w:cs="Times New Roman"/>
      <w:lang w:val="en-US"/>
    </w:rPr>
  </w:style>
  <w:style w:type="character" w:customStyle="1" w:styleId="21">
    <w:name w:val="Body Text Indent 2 Char"/>
    <w:link w:val="7"/>
    <w:uiPriority w:val="0"/>
    <w:rPr>
      <w:sz w:val="24"/>
      <w:szCs w:val="24"/>
      <w:lang w:val="en-GB" w:eastAsia="zh-CN"/>
    </w:rPr>
  </w:style>
  <w:style w:type="character" w:customStyle="1" w:styleId="22">
    <w:name w:val="Body Text Indent 2 Char1"/>
    <w:basedOn w:val="10"/>
    <w:semiHidden/>
    <w:uiPriority w:val="99"/>
    <w:rPr>
      <w:rFonts w:ascii="Calibri" w:hAnsi="Calibri" w:eastAsia="Calibri" w:cs="Times New Roman"/>
      <w:lang w:val="en-US"/>
    </w:rPr>
  </w:style>
  <w:style w:type="character" w:customStyle="1" w:styleId="23">
    <w:name w:val="Body Text Indent Char"/>
    <w:basedOn w:val="10"/>
    <w:link w:val="6"/>
    <w:semiHidden/>
    <w:uiPriority w:val="99"/>
    <w:rPr>
      <w:rFonts w:ascii="Calibri" w:hAnsi="Calibri" w:eastAsia="Calibri" w:cs="Times New Roman"/>
      <w:lang w:val="en-US"/>
    </w:rPr>
  </w:style>
  <w:style w:type="character" w:customStyle="1" w:styleId="24">
    <w:name w:val="Body Text Char"/>
    <w:basedOn w:val="10"/>
    <w:link w:val="5"/>
    <w:semiHidden/>
    <w:uiPriority w:val="99"/>
    <w:rPr>
      <w:rFonts w:ascii="Times New Roman" w:hAnsi="Times New Roman" w:eastAsia="Times New Roman" w:cs="Times New Roman"/>
      <w:sz w:val="24"/>
      <w:szCs w:val="24"/>
    </w:rPr>
  </w:style>
  <w:style w:type="paragraph" w:customStyle="1" w:styleId="25">
    <w:name w:val="Default"/>
    <w:uiPriority w:val="0"/>
    <w:pPr>
      <w:autoSpaceDE w:val="0"/>
      <w:autoSpaceDN w:val="0"/>
      <w:adjustRightInd w:val="0"/>
      <w:spacing w:after="0" w:line="240" w:lineRule="auto"/>
    </w:pPr>
    <w:rPr>
      <w:rFonts w:ascii="Arial" w:hAnsi="Arial" w:eastAsia="Times New Roman" w:cs="Arial"/>
      <w:color w:val="000000"/>
      <w:sz w:val="24"/>
      <w:szCs w:val="24"/>
      <w:lang w:val="en-US" w:eastAsia="en-US" w:bidi="ar-SA"/>
    </w:rPr>
  </w:style>
  <w:style w:type="character" w:customStyle="1" w:styleId="26">
    <w:name w:val="A4"/>
    <w:uiPriority w:val="99"/>
    <w:rPr>
      <w:rFonts w:cs="Century Gothic"/>
      <w:color w:val="000000"/>
      <w:sz w:val="20"/>
      <w:szCs w:val="20"/>
    </w:rPr>
  </w:style>
  <w:style w:type="paragraph" w:customStyle="1" w:styleId="27">
    <w:name w:val="xl65"/>
    <w:basedOn w:val="1"/>
    <w:uiPriority w:val="0"/>
    <w:pPr>
      <w:spacing w:before="100" w:beforeAutospacing="1" w:after="100" w:afterAutospacing="1" w:line="240" w:lineRule="auto"/>
    </w:pPr>
    <w:rPr>
      <w:rFonts w:ascii="Bookman Old Style" w:hAnsi="Bookman Old Style" w:eastAsia="Times New Roman"/>
      <w:sz w:val="24"/>
      <w:szCs w:val="24"/>
    </w:rPr>
  </w:style>
  <w:style w:type="paragraph" w:customStyle="1" w:styleId="28">
    <w:name w:val="xl66"/>
    <w:basedOn w:val="1"/>
    <w:uiPriority w:val="0"/>
    <w:pPr>
      <w:spacing w:before="100" w:beforeAutospacing="1" w:after="100" w:afterAutospacing="1" w:line="240" w:lineRule="auto"/>
      <w:jc w:val="center"/>
    </w:pPr>
    <w:rPr>
      <w:rFonts w:ascii="Bookman Old Style" w:hAnsi="Bookman Old Style" w:eastAsia="Times New Roman"/>
      <w:sz w:val="24"/>
      <w:szCs w:val="24"/>
    </w:rPr>
  </w:style>
  <w:style w:type="paragraph" w:customStyle="1" w:styleId="29">
    <w:name w:val="xl67"/>
    <w:basedOn w:val="1"/>
    <w:uiPriority w:val="0"/>
    <w:pPr>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30">
    <w:name w:val="xl6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Bookman Old Style" w:hAnsi="Bookman Old Style" w:eastAsia="Times New Roman"/>
      <w:sz w:val="24"/>
      <w:szCs w:val="24"/>
    </w:rPr>
  </w:style>
  <w:style w:type="paragraph" w:customStyle="1" w:styleId="31">
    <w:name w:val="xl69"/>
    <w:basedOn w:val="1"/>
    <w:uiPriority w:val="0"/>
    <w:pPr>
      <w:shd w:val="clear" w:color="000000" w:fill="FFFFFF"/>
      <w:spacing w:before="100" w:beforeAutospacing="1" w:after="100" w:afterAutospacing="1" w:line="240" w:lineRule="auto"/>
    </w:pPr>
    <w:rPr>
      <w:rFonts w:ascii="Bookman Old Style" w:hAnsi="Bookman Old Style" w:eastAsia="Times New Roman"/>
      <w:sz w:val="24"/>
      <w:szCs w:val="24"/>
    </w:rPr>
  </w:style>
  <w:style w:type="paragraph" w:customStyle="1" w:styleId="32">
    <w:name w:val="xl70"/>
    <w:basedOn w:val="1"/>
    <w:uiPriority w:val="0"/>
    <w:pPr>
      <w:pBdr>
        <w:bottom w:val="single" w:color="auto" w:sz="4" w:space="0"/>
      </w:pBdr>
      <w:spacing w:before="100" w:beforeAutospacing="1" w:after="100" w:afterAutospacing="1" w:line="240" w:lineRule="auto"/>
    </w:pPr>
    <w:rPr>
      <w:rFonts w:ascii="Bookman Old Style" w:hAnsi="Bookman Old Style" w:eastAsia="Times New Roman"/>
      <w:sz w:val="24"/>
      <w:szCs w:val="24"/>
    </w:rPr>
  </w:style>
  <w:style w:type="paragraph" w:customStyle="1" w:styleId="33">
    <w:name w:val="xl71"/>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34">
    <w:name w:val="xl72"/>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b/>
      <w:bCs/>
      <w:sz w:val="24"/>
      <w:szCs w:val="24"/>
    </w:rPr>
  </w:style>
  <w:style w:type="paragraph" w:customStyle="1" w:styleId="35">
    <w:name w:val="xl73"/>
    <w:basedOn w:val="1"/>
    <w:uiPriority w:val="0"/>
    <w:pPr>
      <w:spacing w:before="100" w:beforeAutospacing="1" w:after="100" w:afterAutospacing="1" w:line="240" w:lineRule="auto"/>
    </w:pPr>
    <w:rPr>
      <w:rFonts w:ascii="Bookman Old Style" w:hAnsi="Bookman Old Style" w:eastAsia="Times New Roman"/>
      <w:sz w:val="24"/>
      <w:szCs w:val="24"/>
    </w:rPr>
  </w:style>
  <w:style w:type="paragraph" w:customStyle="1" w:styleId="36">
    <w:name w:val="xl74"/>
    <w:basedOn w:val="1"/>
    <w:uiPriority w:val="0"/>
    <w:pPr>
      <w:shd w:val="clear" w:color="000000" w:fill="FFFFFF"/>
      <w:spacing w:before="100" w:beforeAutospacing="1" w:after="100" w:afterAutospacing="1" w:line="240" w:lineRule="auto"/>
    </w:pPr>
    <w:rPr>
      <w:rFonts w:ascii="Bookman Old Style" w:hAnsi="Bookman Old Style" w:eastAsia="Times New Roman"/>
      <w:sz w:val="24"/>
      <w:szCs w:val="24"/>
    </w:rPr>
  </w:style>
  <w:style w:type="paragraph" w:customStyle="1" w:styleId="37">
    <w:name w:val="xl75"/>
    <w:basedOn w:val="1"/>
    <w:uiPriority w:val="0"/>
    <w:pP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38">
    <w:name w:val="xl76"/>
    <w:basedOn w:val="1"/>
    <w:uiPriority w:val="0"/>
    <w:pP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39">
    <w:name w:val="xl77"/>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40">
    <w:name w:val="xl78"/>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41">
    <w:name w:val="xl7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Bookman Old Style" w:hAnsi="Bookman Old Style" w:eastAsia="Times New Roman"/>
      <w:sz w:val="24"/>
      <w:szCs w:val="24"/>
    </w:rPr>
  </w:style>
  <w:style w:type="paragraph" w:customStyle="1" w:styleId="42">
    <w:name w:val="xl80"/>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43">
    <w:name w:val="xl8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Bookman Old Style" w:hAnsi="Bookman Old Style" w:eastAsia="Times New Roman"/>
      <w:sz w:val="24"/>
      <w:szCs w:val="24"/>
    </w:rPr>
  </w:style>
  <w:style w:type="paragraph" w:customStyle="1" w:styleId="44">
    <w:name w:val="xl8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both"/>
      <w:textAlignment w:val="center"/>
    </w:pPr>
    <w:rPr>
      <w:rFonts w:ascii="Bookman Old Style" w:hAnsi="Bookman Old Style" w:eastAsia="Times New Roman"/>
      <w:sz w:val="24"/>
      <w:szCs w:val="24"/>
    </w:rPr>
  </w:style>
  <w:style w:type="paragraph" w:customStyle="1" w:styleId="45">
    <w:name w:val="xl83"/>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46">
    <w:name w:val="xl8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Bookman Old Style" w:hAnsi="Bookman Old Style" w:eastAsia="Times New Roman"/>
      <w:b/>
      <w:bCs/>
      <w:sz w:val="24"/>
      <w:szCs w:val="24"/>
    </w:rPr>
  </w:style>
  <w:style w:type="paragraph" w:customStyle="1" w:styleId="47">
    <w:name w:val="xl8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Bookman Old Style" w:hAnsi="Bookman Old Style" w:eastAsia="Times New Roman"/>
      <w:sz w:val="24"/>
      <w:szCs w:val="24"/>
    </w:rPr>
  </w:style>
  <w:style w:type="paragraph" w:customStyle="1" w:styleId="48">
    <w:name w:val="xl86"/>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Bookman Old Style" w:hAnsi="Bookman Old Style" w:eastAsia="Times New Roman"/>
      <w:sz w:val="24"/>
      <w:szCs w:val="24"/>
    </w:rPr>
  </w:style>
  <w:style w:type="paragraph" w:customStyle="1" w:styleId="49">
    <w:name w:val="xl8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50">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Bookman Old Style" w:hAnsi="Bookman Old Style" w:eastAsia="Times New Roman"/>
      <w:sz w:val="24"/>
      <w:szCs w:val="24"/>
    </w:rPr>
  </w:style>
  <w:style w:type="paragraph" w:customStyle="1" w:styleId="51">
    <w:name w:val="xl8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Bookman Old Style" w:hAnsi="Bookman Old Style" w:eastAsia="Times New Roman"/>
      <w:sz w:val="24"/>
      <w:szCs w:val="24"/>
    </w:rPr>
  </w:style>
  <w:style w:type="paragraph" w:customStyle="1" w:styleId="52">
    <w:name w:val="xl90"/>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53">
    <w:name w:val="xl91"/>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54">
    <w:name w:val="xl92"/>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Bookman Old Style" w:hAnsi="Bookman Old Style" w:eastAsia="Times New Roman"/>
      <w:sz w:val="24"/>
      <w:szCs w:val="24"/>
    </w:rPr>
  </w:style>
  <w:style w:type="paragraph" w:customStyle="1" w:styleId="55">
    <w:name w:val="xl93"/>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pPr>
    <w:rPr>
      <w:rFonts w:ascii="Bookman Old Style" w:hAnsi="Bookman Old Style" w:eastAsia="Times New Roman"/>
      <w:sz w:val="24"/>
      <w:szCs w:val="24"/>
    </w:rPr>
  </w:style>
  <w:style w:type="paragraph" w:customStyle="1" w:styleId="56">
    <w:name w:val="xl94"/>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57">
    <w:name w:val="xl95"/>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58">
    <w:name w:val="xl96"/>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Bookman Old Style" w:hAnsi="Bookman Old Style" w:eastAsia="Times New Roman"/>
      <w:b/>
      <w:bCs/>
      <w:sz w:val="24"/>
      <w:szCs w:val="24"/>
    </w:rPr>
  </w:style>
  <w:style w:type="paragraph" w:customStyle="1" w:styleId="59">
    <w:name w:val="xl97"/>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Bookman Old Style" w:hAnsi="Bookman Old Style" w:eastAsia="Times New Roman"/>
      <w:sz w:val="24"/>
      <w:szCs w:val="24"/>
    </w:rPr>
  </w:style>
  <w:style w:type="paragraph" w:customStyle="1" w:styleId="60">
    <w:name w:val="xl98"/>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Bookman Old Style" w:hAnsi="Bookman Old Style" w:eastAsia="Times New Roman"/>
      <w:sz w:val="24"/>
      <w:szCs w:val="24"/>
    </w:rPr>
  </w:style>
  <w:style w:type="paragraph" w:customStyle="1" w:styleId="61">
    <w:name w:val="xl99"/>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top"/>
    </w:pPr>
    <w:rPr>
      <w:rFonts w:ascii="Bookman Old Style" w:hAnsi="Bookman Old Style" w:eastAsia="Times New Roman"/>
      <w:sz w:val="24"/>
      <w:szCs w:val="24"/>
    </w:rPr>
  </w:style>
  <w:style w:type="paragraph" w:customStyle="1" w:styleId="62">
    <w:name w:val="xl100"/>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63">
    <w:name w:val="xl101"/>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pPr>
    <w:rPr>
      <w:rFonts w:ascii="Bookman Old Style" w:hAnsi="Bookman Old Style" w:eastAsia="Times New Roman"/>
      <w:sz w:val="24"/>
      <w:szCs w:val="24"/>
    </w:rPr>
  </w:style>
  <w:style w:type="paragraph" w:customStyle="1" w:styleId="64">
    <w:name w:val="xl10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65">
    <w:name w:val="xl10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Bookman Old Style" w:hAnsi="Bookman Old Style" w:eastAsia="Times New Roman"/>
      <w:sz w:val="24"/>
      <w:szCs w:val="24"/>
    </w:rPr>
  </w:style>
  <w:style w:type="paragraph" w:customStyle="1" w:styleId="66">
    <w:name w:val="xl10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67">
    <w:name w:val="xl10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68">
    <w:name w:val="xl10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Bookman Old Style" w:hAnsi="Bookman Old Style" w:eastAsia="Times New Roman"/>
      <w:sz w:val="24"/>
      <w:szCs w:val="24"/>
    </w:rPr>
  </w:style>
  <w:style w:type="paragraph" w:customStyle="1" w:styleId="69">
    <w:name w:val="xl10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70">
    <w:name w:val="xl10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71">
    <w:name w:val="xl10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Bookman Old Style" w:hAnsi="Bookman Old Style" w:eastAsia="Times New Roman"/>
      <w:sz w:val="24"/>
      <w:szCs w:val="24"/>
    </w:rPr>
  </w:style>
  <w:style w:type="paragraph" w:customStyle="1" w:styleId="72">
    <w:name w:val="xl110"/>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textAlignment w:val="center"/>
    </w:pPr>
    <w:rPr>
      <w:rFonts w:ascii="Bookman Old Style" w:hAnsi="Bookman Old Style" w:eastAsia="Times New Roman"/>
      <w:sz w:val="24"/>
      <w:szCs w:val="24"/>
    </w:rPr>
  </w:style>
  <w:style w:type="paragraph" w:customStyle="1" w:styleId="73">
    <w:name w:val="xl11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Bookman Old Style" w:hAnsi="Bookman Old Style" w:eastAsia="Times New Roman"/>
      <w:b/>
      <w:bCs/>
      <w:sz w:val="24"/>
      <w:szCs w:val="24"/>
    </w:rPr>
  </w:style>
  <w:style w:type="paragraph" w:customStyle="1" w:styleId="74">
    <w:name w:val="xl11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Bookman Old Style" w:hAnsi="Bookman Old Style" w:eastAsia="Times New Roman"/>
      <w:b/>
      <w:bCs/>
      <w:sz w:val="24"/>
      <w:szCs w:val="24"/>
    </w:rPr>
  </w:style>
  <w:style w:type="paragraph" w:customStyle="1" w:styleId="75">
    <w:name w:val="xl113"/>
    <w:basedOn w:val="1"/>
    <w:uiPriority w:val="0"/>
    <w:pPr>
      <w:spacing w:before="100" w:beforeAutospacing="1" w:after="100" w:afterAutospacing="1" w:line="240" w:lineRule="auto"/>
      <w:jc w:val="center"/>
      <w:textAlignment w:val="center"/>
    </w:pPr>
    <w:rPr>
      <w:rFonts w:ascii="Bookman Old Style" w:hAnsi="Bookman Old Style" w:eastAsia="Times New Roman"/>
      <w:b/>
      <w:bCs/>
      <w:sz w:val="24"/>
      <w:szCs w:val="24"/>
    </w:rPr>
  </w:style>
  <w:style w:type="paragraph" w:customStyle="1" w:styleId="76">
    <w:name w:val="xl114"/>
    <w:basedOn w:val="1"/>
    <w:uiPriority w:val="0"/>
    <w:pPr>
      <w:shd w:val="clear" w:color="000000" w:fill="FFFFFF"/>
      <w:spacing w:before="100" w:beforeAutospacing="1" w:after="100" w:afterAutospacing="1" w:line="240" w:lineRule="auto"/>
      <w:jc w:val="center"/>
      <w:textAlignment w:val="center"/>
    </w:pPr>
    <w:rPr>
      <w:rFonts w:ascii="Bookman Old Style" w:hAnsi="Bookman Old Style" w:eastAsia="Times New Roman"/>
      <w:b/>
      <w:bCs/>
      <w:sz w:val="24"/>
      <w:szCs w:val="24"/>
    </w:rPr>
  </w:style>
  <w:style w:type="paragraph" w:customStyle="1" w:styleId="77">
    <w:name w:val="xl115"/>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Bookman Old Style" w:hAnsi="Bookman Old Style" w:eastAsia="Times New Roman"/>
      <w:b/>
      <w:bCs/>
      <w:sz w:val="24"/>
      <w:szCs w:val="24"/>
    </w:rPr>
  </w:style>
  <w:style w:type="character" w:customStyle="1" w:styleId="78">
    <w:name w:val="List Paragraph Char"/>
    <w:link w:val="18"/>
    <w:locked/>
    <w:uiPriority w:val="34"/>
    <w:rPr>
      <w:rFonts w:ascii="Times New Roman" w:hAnsi="Times New Roman" w:eastAsia="SimSun" w:cs="Times New Roman"/>
      <w:sz w:val="24"/>
      <w:szCs w:val="24"/>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7F9B42-F5F6-488B-85E7-5ABCE019D48B}">
  <ds:schemaRefs/>
</ds:datastoreItem>
</file>

<file path=docProps/app.xml><?xml version="1.0" encoding="utf-8"?>
<Properties xmlns="http://schemas.openxmlformats.org/officeDocument/2006/extended-properties" xmlns:vt="http://schemas.openxmlformats.org/officeDocument/2006/docPropsVTypes">
  <Template>Normal.dotm</Template>
  <Company>[Badan Pendapatan Daerah]</Company>
  <Pages>73</Pages>
  <Words>17995</Words>
  <Characters>102575</Characters>
  <Lines>854</Lines>
  <Paragraphs>240</Paragraphs>
  <TotalTime>12</TotalTime>
  <ScaleCrop>false</ScaleCrop>
  <LinksUpToDate>false</LinksUpToDate>
  <CharactersWithSpaces>120330</CharactersWithSpaces>
  <Application>WPS Office_11.2.0.9169_F1E327BC-269C-435d-A152-05C5408002CA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2019-09-30T08:06:00Z</dcterms:created>
  <dc:creator>Lenovo</dc:creator>
  <cp:lastModifiedBy>asus</cp:lastModifiedBy>
  <cp:lastPrinted>2019-09-30T04:34:00Z</cp:lastPrinted>
  <dcterms:modified xsi:type="dcterms:W3CDTF">2020-03-12T05:00:20Z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1033-11.2.0.9169</vt:lpwstr>
  </property>
</Properties>
</file>